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1F75" w14:textId="77777777" w:rsidR="008F3111" w:rsidRPr="00DB761F" w:rsidRDefault="00DA161A" w:rsidP="00CA1B1F">
      <w:pPr>
        <w:ind w:right="-65"/>
        <w:rPr>
          <w:rFonts w:asciiTheme="majorHAnsi" w:hAnsiTheme="majorHAnsi"/>
          <w:color w:val="7F7F7F" w:themeColor="text1" w:themeTint="80"/>
          <w:spacing w:val="-20"/>
          <w:kern w:val="28"/>
          <w:sz w:val="28"/>
          <w:lang w:val="sq-AL"/>
        </w:rPr>
      </w:pPr>
      <w:r>
        <w:rPr>
          <w:rFonts w:asciiTheme="majorHAnsi" w:hAnsiTheme="majorHAnsi"/>
          <w:noProof/>
          <w:color w:val="7F7F7F" w:themeColor="text1" w:themeTint="80"/>
          <w:spacing w:val="-20"/>
          <w:kern w:val="28"/>
          <w:sz w:val="44"/>
          <w:szCs w:val="52"/>
          <w:lang w:val="sq-AL" w:eastAsia="zh-TW"/>
        </w:rPr>
        <w:pict w14:anchorId="54C22FB1">
          <v:shapetype id="_x0000_t202" coordsize="21600,21600" o:spt="202" path="m,l,21600r21600,l21600,xe">
            <v:stroke joinstyle="miter"/>
            <v:path gradientshapeok="t" o:connecttype="rect"/>
          </v:shapetype>
          <v:shape id="_x0000_s1026" type="#_x0000_t202" style="position:absolute;margin-left:13.5pt;margin-top:-48.75pt;width:372.5pt;height:48.5pt;z-index:-251659265;mso-width-relative:margin;mso-height-relative:margin" stroked="f">
            <v:textbox style="mso-next-textbox:#_x0000_s1026">
              <w:txbxContent>
                <w:p w14:paraId="4AEC2FC8" w14:textId="77777777" w:rsidR="003A3607" w:rsidRDefault="003A3607" w:rsidP="00166C30">
                  <w:pPr>
                    <w:jc w:val="right"/>
                  </w:pPr>
                </w:p>
              </w:txbxContent>
            </v:textbox>
          </v:shape>
        </w:pict>
      </w:r>
      <w:r w:rsidR="003A3607">
        <w:rPr>
          <w:rFonts w:asciiTheme="majorHAnsi" w:hAnsiTheme="majorHAnsi"/>
          <w:noProof/>
          <w:color w:val="7F7F7F" w:themeColor="text1" w:themeTint="80"/>
          <w:spacing w:val="-20"/>
          <w:kern w:val="28"/>
          <w:sz w:val="28"/>
          <w:lang w:val="en-US"/>
        </w:rPr>
        <w:pict w14:anchorId="38AC8486">
          <v:shape id="_x0000_s1027" type="#_x0000_t202" style="position:absolute;margin-left:5.45pt;margin-top:-72.35pt;width:526.75pt;height:71.3pt;z-index:-251641856;mso-width-relative:margin;mso-height-relative:margin" stroked="f">
            <v:textbox style="mso-next-textbox:#_x0000_s1027">
              <w:txbxContent>
                <w:p w14:paraId="6297B970" w14:textId="77777777" w:rsidR="003A3607" w:rsidRDefault="003A3607" w:rsidP="003F7F8D">
                  <w:pPr>
                    <w:pStyle w:val="ContactInfo"/>
                    <w:rPr>
                      <w:color w:val="000000" w:themeColor="text1"/>
                      <w:lang w:val="sq-AL"/>
                    </w:rPr>
                  </w:pPr>
                </w:p>
                <w:p w14:paraId="71B1EE4D" w14:textId="77777777" w:rsidR="003A3607" w:rsidRPr="00EC4733" w:rsidRDefault="003A3607" w:rsidP="003F7F8D">
                  <w:pPr>
                    <w:pStyle w:val="ContactInfo"/>
                    <w:rPr>
                      <w:color w:val="000000" w:themeColor="text1"/>
                      <w:lang w:val="sq-AL"/>
                    </w:rPr>
                  </w:pPr>
                  <w:r>
                    <w:rPr>
                      <w:color w:val="000000" w:themeColor="text1"/>
                      <w:lang w:val="sq-AL"/>
                    </w:rPr>
                    <w:t xml:space="preserve">      </w:t>
                  </w:r>
                  <w:r>
                    <w:rPr>
                      <w:noProof/>
                    </w:rPr>
                    <w:drawing>
                      <wp:inline distT="0" distB="0" distL="0" distR="0" wp14:anchorId="5999FBE5" wp14:editId="03615863">
                        <wp:extent cx="1200647" cy="628153"/>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9" cstate="print">
                                  <a:extLst>
                                    <a:ext uri="{28A0092B-C50C-407E-A947-70E740481C1C}">
                                      <a14:useLocalDpi xmlns:a14="http://schemas.microsoft.com/office/drawing/2010/main" val="0"/>
                                    </a:ext>
                                  </a:extLst>
                                </a:blip>
                                <a:srcRect l="11489" t="25979" r="8626" b="29666"/>
                                <a:stretch/>
                              </pic:blipFill>
                              <pic:spPr bwMode="auto">
                                <a:xfrm>
                                  <a:off x="0" y="0"/>
                                  <a:ext cx="1208776" cy="632406"/>
                                </a:xfrm>
                                <a:prstGeom prst="rect">
                                  <a:avLst/>
                                </a:prstGeom>
                                <a:ln>
                                  <a:noFill/>
                                </a:ln>
                                <a:extLst>
                                  <a:ext uri="{53640926-AAD7-44D8-BBD7-CCE9431645EC}">
                                    <a14:shadowObscured xmlns:a14="http://schemas.microsoft.com/office/drawing/2010/main"/>
                                  </a:ext>
                                </a:extLst>
                              </pic:spPr>
                            </pic:pic>
                          </a:graphicData>
                        </a:graphic>
                      </wp:inline>
                    </w:drawing>
                  </w:r>
                  <w:r>
                    <w:rPr>
                      <w:color w:val="000000" w:themeColor="text1"/>
                      <w:lang w:val="sq-AL"/>
                    </w:rPr>
                    <w:tab/>
                    <w:t xml:space="preserve">                                                                                                                   </w:t>
                  </w:r>
                  <w:r>
                    <w:rPr>
                      <w:noProof/>
                    </w:rPr>
                    <w:drawing>
                      <wp:inline distT="0" distB="0" distL="0" distR="0" wp14:anchorId="4888796C" wp14:editId="36A70B90">
                        <wp:extent cx="1017213" cy="564239"/>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293" cy="573713"/>
                                </a:xfrm>
                                <a:prstGeom prst="rect">
                                  <a:avLst/>
                                </a:prstGeom>
                              </pic:spPr>
                            </pic:pic>
                          </a:graphicData>
                        </a:graphic>
                      </wp:inline>
                    </w:drawing>
                  </w:r>
                </w:p>
              </w:txbxContent>
            </v:textbox>
          </v:shape>
        </w:pict>
      </w:r>
      <w:r w:rsidR="003A3607">
        <w:rPr>
          <w:rFonts w:asciiTheme="majorHAnsi" w:hAnsiTheme="majorHAnsi"/>
          <w:color w:val="7F7F7F" w:themeColor="text1" w:themeTint="80"/>
          <w:spacing w:val="-20"/>
          <w:kern w:val="28"/>
          <w:sz w:val="56"/>
          <w:szCs w:val="56"/>
        </w:rPr>
        <w:t xml:space="preserve"> </w:t>
      </w:r>
      <w:r w:rsidR="0003795B" w:rsidRPr="000E079E">
        <w:rPr>
          <w:rFonts w:asciiTheme="majorHAnsi" w:hAnsiTheme="majorHAnsi"/>
          <w:color w:val="7F7F7F" w:themeColor="text1" w:themeTint="80"/>
          <w:spacing w:val="-20"/>
          <w:kern w:val="28"/>
          <w:sz w:val="56"/>
          <w:szCs w:val="56"/>
        </w:rPr>
        <w:t xml:space="preserve">Retail trade </w:t>
      </w:r>
      <w:bookmarkStart w:id="0" w:name="_GoBack"/>
      <w:bookmarkEnd w:id="0"/>
    </w:p>
    <w:p w14:paraId="715BAEA2" w14:textId="77777777" w:rsidR="0003795B" w:rsidRPr="000E079E" w:rsidRDefault="00B86DD1" w:rsidP="00D166A0">
      <w:pPr>
        <w:pStyle w:val="BodyText"/>
        <w:spacing w:line="360" w:lineRule="auto"/>
        <w:ind w:left="360" w:firstLine="0"/>
        <w:rPr>
          <w:rFonts w:asciiTheme="majorHAnsi" w:hAnsiTheme="majorHAnsi"/>
          <w:spacing w:val="-15"/>
          <w:kern w:val="28"/>
          <w:sz w:val="24"/>
        </w:rPr>
      </w:pPr>
      <w:r>
        <w:rPr>
          <w:rFonts w:asciiTheme="majorHAnsi" w:hAnsiTheme="majorHAnsi"/>
          <w:spacing w:val="-15"/>
          <w:kern w:val="28"/>
          <w:sz w:val="24"/>
        </w:rPr>
        <w:t>Second</w:t>
      </w:r>
      <w:r w:rsidR="0008516C">
        <w:rPr>
          <w:rFonts w:asciiTheme="majorHAnsi" w:hAnsiTheme="majorHAnsi"/>
          <w:spacing w:val="-15"/>
          <w:kern w:val="28"/>
          <w:sz w:val="24"/>
        </w:rPr>
        <w:t xml:space="preserve"> quarter</w:t>
      </w:r>
      <w:r w:rsidR="007D78FA">
        <w:rPr>
          <w:rFonts w:asciiTheme="majorHAnsi" w:hAnsiTheme="majorHAnsi"/>
          <w:spacing w:val="-15"/>
          <w:kern w:val="28"/>
          <w:sz w:val="24"/>
        </w:rPr>
        <w:t>, 202</w:t>
      </w:r>
      <w:r w:rsidR="0008516C">
        <w:rPr>
          <w:rFonts w:asciiTheme="majorHAnsi" w:hAnsiTheme="majorHAnsi"/>
          <w:spacing w:val="-15"/>
          <w:kern w:val="28"/>
          <w:sz w:val="24"/>
        </w:rPr>
        <w:t>4</w:t>
      </w:r>
    </w:p>
    <w:p w14:paraId="6547629A" w14:textId="77777777" w:rsidR="00B74E09" w:rsidRDefault="0003795B" w:rsidP="00D166A0">
      <w:pPr>
        <w:pStyle w:val="BodyText"/>
        <w:ind w:left="360" w:firstLine="0"/>
      </w:pPr>
      <w:r w:rsidRPr="000E079E">
        <w:rPr>
          <w:rStyle w:val="Emphasis"/>
        </w:rPr>
        <w:t xml:space="preserve">Tirana, </w:t>
      </w:r>
      <w:r w:rsidR="00B86DD1" w:rsidRPr="00114D99">
        <w:rPr>
          <w:rStyle w:val="Emphasis"/>
        </w:rPr>
        <w:t>September</w:t>
      </w:r>
      <w:r w:rsidR="003C621A" w:rsidRPr="00114D99">
        <w:rPr>
          <w:rStyle w:val="Emphasis"/>
        </w:rPr>
        <w:t xml:space="preserve"> </w:t>
      </w:r>
      <w:r w:rsidR="00B86DD1" w:rsidRPr="00114D99">
        <w:rPr>
          <w:rStyle w:val="Emphasis"/>
        </w:rPr>
        <w:t>13t</w:t>
      </w:r>
      <w:r w:rsidR="00DF4921" w:rsidRPr="00114D99">
        <w:rPr>
          <w:rStyle w:val="Emphasis"/>
          <w:vertAlign w:val="superscript"/>
        </w:rPr>
        <w:t>h</w:t>
      </w:r>
      <w:r w:rsidR="00DF4921">
        <w:rPr>
          <w:rStyle w:val="Emphasis"/>
        </w:rPr>
        <w:t>:</w:t>
      </w:r>
      <w:r w:rsidRPr="000E079E">
        <w:t xml:space="preserve"> </w:t>
      </w:r>
      <w:r w:rsidR="00432EED">
        <w:t xml:space="preserve"> </w:t>
      </w:r>
      <w:r w:rsidR="002B63CE">
        <w:t xml:space="preserve">Retail trade volume index, estimated based on deflated sales value index, marked </w:t>
      </w:r>
      <w:r w:rsidR="002079EA">
        <w:t>1</w:t>
      </w:r>
      <w:r w:rsidR="00114D99">
        <w:t>10.3</w:t>
      </w:r>
      <w:r w:rsidR="00220B05">
        <w:t>,</w:t>
      </w:r>
      <w:r w:rsidR="002B63CE">
        <w:t xml:space="preserve"> increasing </w:t>
      </w:r>
      <w:r w:rsidR="00114D99">
        <w:t>5</w:t>
      </w:r>
      <w:r w:rsidR="00B74E09">
        <w:t>.</w:t>
      </w:r>
      <w:r w:rsidR="002079EA">
        <w:t>9</w:t>
      </w:r>
      <w:r w:rsidR="00513F56">
        <w:t xml:space="preserve"> %,</w:t>
      </w:r>
      <w:r w:rsidRPr="000E079E">
        <w:t xml:space="preserve"> compared </w:t>
      </w:r>
      <w:r w:rsidR="00B305A6">
        <w:t xml:space="preserve">to </w:t>
      </w:r>
      <w:r w:rsidR="001E47D0">
        <w:t xml:space="preserve">the </w:t>
      </w:r>
      <w:r w:rsidR="00114D99">
        <w:t>second</w:t>
      </w:r>
      <w:r w:rsidRPr="000E079E">
        <w:t xml:space="preserve"> quarter </w:t>
      </w:r>
      <w:r w:rsidR="00E61A58">
        <w:t>20</w:t>
      </w:r>
      <w:r w:rsidR="009F013A">
        <w:t>2</w:t>
      </w:r>
      <w:r w:rsidR="002079EA">
        <w:t>3</w:t>
      </w:r>
      <w:r w:rsidR="00FB3654">
        <w:t xml:space="preserve">. </w:t>
      </w:r>
      <w:r w:rsidR="00934267">
        <w:t>This indicator seasonally adjusted</w:t>
      </w:r>
      <w:r w:rsidR="00935647">
        <w:t>,</w:t>
      </w:r>
      <w:r w:rsidR="00934267">
        <w:t xml:space="preserve"> </w:t>
      </w:r>
      <w:r w:rsidR="00680225">
        <w:t>com</w:t>
      </w:r>
      <w:r w:rsidR="00923159">
        <w:t xml:space="preserve">pared with the previous quarter </w:t>
      </w:r>
      <w:r w:rsidR="001F4531">
        <w:t>increased</w:t>
      </w:r>
      <w:r w:rsidR="00E10362">
        <w:t xml:space="preserve"> </w:t>
      </w:r>
      <w:r w:rsidR="00114D99">
        <w:t>2</w:t>
      </w:r>
      <w:r w:rsidR="0082083A">
        <w:t>.</w:t>
      </w:r>
      <w:r w:rsidR="00114D99">
        <w:t xml:space="preserve">0 </w:t>
      </w:r>
      <w:r w:rsidR="00680225">
        <w:t>%.</w:t>
      </w:r>
    </w:p>
    <w:p w14:paraId="7E9EA18E" w14:textId="77777777" w:rsidR="00770810" w:rsidRDefault="00770810" w:rsidP="00D166A0">
      <w:pPr>
        <w:ind w:left="360" w:hanging="180"/>
        <w:rPr>
          <w:rFonts w:cstheme="minorHAnsi"/>
          <w:b/>
          <w:color w:val="7F7F7F" w:themeColor="text1" w:themeTint="80"/>
          <w:spacing w:val="-20"/>
          <w:kern w:val="28"/>
          <w:sz w:val="24"/>
        </w:rPr>
      </w:pPr>
      <w:r>
        <w:rPr>
          <w:rFonts w:cstheme="minorHAnsi"/>
          <w:b/>
          <w:color w:val="7F7F7F" w:themeColor="text1" w:themeTint="80"/>
          <w:spacing w:val="-20"/>
          <w:kern w:val="28"/>
          <w:sz w:val="24"/>
          <w:szCs w:val="24"/>
        </w:rPr>
        <w:t xml:space="preserve">   </w:t>
      </w:r>
      <w:r w:rsidRPr="000E079E">
        <w:rPr>
          <w:rFonts w:cstheme="minorHAnsi"/>
          <w:b/>
          <w:color w:val="7F7F7F" w:themeColor="text1" w:themeTint="80"/>
          <w:spacing w:val="-20"/>
          <w:kern w:val="28"/>
          <w:sz w:val="24"/>
          <w:szCs w:val="24"/>
        </w:rPr>
        <w:t xml:space="preserve">Fig. 1 </w:t>
      </w:r>
      <w:r w:rsidRPr="000E079E">
        <w:rPr>
          <w:rFonts w:cstheme="minorHAnsi"/>
          <w:b/>
          <w:color w:val="7F7F7F" w:themeColor="text1" w:themeTint="80"/>
          <w:spacing w:val="-20"/>
          <w:kern w:val="28"/>
          <w:sz w:val="24"/>
        </w:rPr>
        <w:t>Volume</w:t>
      </w:r>
      <w:r>
        <w:rPr>
          <w:rFonts w:cstheme="minorHAnsi"/>
          <w:b/>
          <w:color w:val="7F7F7F" w:themeColor="text1" w:themeTint="80"/>
          <w:spacing w:val="-20"/>
          <w:kern w:val="28"/>
          <w:sz w:val="24"/>
        </w:rPr>
        <w:t xml:space="preserve"> turnover </w:t>
      </w:r>
      <w:r w:rsidRPr="000E079E">
        <w:rPr>
          <w:rFonts w:cstheme="minorHAnsi"/>
          <w:b/>
          <w:color w:val="7F7F7F" w:themeColor="text1" w:themeTint="80"/>
          <w:spacing w:val="-20"/>
          <w:kern w:val="28"/>
          <w:sz w:val="24"/>
        </w:rPr>
        <w:t>index</w:t>
      </w:r>
      <w:r>
        <w:rPr>
          <w:rFonts w:cstheme="minorHAnsi"/>
          <w:b/>
          <w:color w:val="7F7F7F" w:themeColor="text1" w:themeTint="80"/>
          <w:spacing w:val="-20"/>
          <w:kern w:val="28"/>
          <w:sz w:val="24"/>
        </w:rPr>
        <w:t xml:space="preserve"> and value turnover index</w:t>
      </w:r>
      <w:r w:rsidRPr="000E079E">
        <w:rPr>
          <w:rFonts w:cstheme="minorHAnsi"/>
          <w:b/>
          <w:color w:val="7F7F7F" w:themeColor="text1" w:themeTint="80"/>
          <w:spacing w:val="-20"/>
          <w:kern w:val="28"/>
          <w:sz w:val="24"/>
        </w:rPr>
        <w:t xml:space="preserve"> on </w:t>
      </w:r>
      <w:r>
        <w:rPr>
          <w:rFonts w:cstheme="minorHAnsi"/>
          <w:b/>
          <w:color w:val="7F7F7F" w:themeColor="text1" w:themeTint="80"/>
          <w:spacing w:val="-20"/>
          <w:kern w:val="28"/>
          <w:sz w:val="24"/>
        </w:rPr>
        <w:t>retail</w:t>
      </w:r>
      <w:r w:rsidRPr="000E079E">
        <w:rPr>
          <w:rFonts w:cstheme="minorHAnsi"/>
          <w:b/>
          <w:color w:val="7F7F7F" w:themeColor="text1" w:themeTint="80"/>
          <w:spacing w:val="-20"/>
          <w:kern w:val="28"/>
          <w:sz w:val="24"/>
        </w:rPr>
        <w:t xml:space="preserve"> </w:t>
      </w:r>
      <w:r>
        <w:rPr>
          <w:rFonts w:cstheme="minorHAnsi"/>
          <w:b/>
          <w:color w:val="7F7F7F" w:themeColor="text1" w:themeTint="80"/>
          <w:spacing w:val="-20"/>
          <w:kern w:val="28"/>
          <w:sz w:val="24"/>
        </w:rPr>
        <w:t>trade</w:t>
      </w:r>
      <w:r w:rsidRPr="000E079E">
        <w:rPr>
          <w:rFonts w:cstheme="minorHAnsi"/>
          <w:b/>
          <w:color w:val="7F7F7F" w:themeColor="text1" w:themeTint="80"/>
          <w:spacing w:val="-20"/>
          <w:kern w:val="28"/>
          <w:sz w:val="24"/>
        </w:rPr>
        <w:t xml:space="preserve"> </w:t>
      </w:r>
      <w:r>
        <w:rPr>
          <w:rFonts w:cstheme="minorHAnsi"/>
          <w:b/>
          <w:color w:val="7F7F7F" w:themeColor="text1" w:themeTint="80"/>
          <w:spacing w:val="-20"/>
          <w:kern w:val="28"/>
          <w:sz w:val="24"/>
        </w:rPr>
        <w:t xml:space="preserve">(seasonally unadjusted) </w:t>
      </w:r>
    </w:p>
    <w:p w14:paraId="26A8CF35" w14:textId="77777777" w:rsidR="002079EA" w:rsidRDefault="002079EA" w:rsidP="00D166A0">
      <w:pPr>
        <w:ind w:left="360" w:firstLine="630"/>
        <w:rPr>
          <w:rFonts w:cstheme="minorHAnsi"/>
          <w:b/>
          <w:color w:val="7F7F7F" w:themeColor="text1" w:themeTint="80"/>
          <w:spacing w:val="-20"/>
          <w:kern w:val="28"/>
          <w:sz w:val="24"/>
        </w:rPr>
      </w:pPr>
    </w:p>
    <w:p w14:paraId="3521D93B" w14:textId="77777777" w:rsidR="00762323" w:rsidRPr="001E5D72" w:rsidRDefault="0021761C" w:rsidP="00D166A0">
      <w:pPr>
        <w:ind w:left="360" w:hanging="270"/>
        <w:rPr>
          <w:rStyle w:val="Emphasis"/>
          <w:rFonts w:asciiTheme="minorHAnsi" w:hAnsiTheme="minorHAnsi" w:cstheme="minorHAnsi"/>
          <w:color w:val="7F7F7F" w:themeColor="text1" w:themeTint="80"/>
          <w:spacing w:val="-20"/>
          <w:kern w:val="28"/>
          <w:sz w:val="24"/>
        </w:rPr>
      </w:pPr>
      <w:r>
        <w:rPr>
          <w:noProof/>
        </w:rPr>
        <w:drawing>
          <wp:inline distT="0" distB="0" distL="0" distR="0" wp14:anchorId="68EA9DA3" wp14:editId="43B7FDDF">
            <wp:extent cx="6240642" cy="2377440"/>
            <wp:effectExtent l="0" t="0" r="0" b="0"/>
            <wp:docPr id="6" name="Chart 6">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977004" w14:textId="77777777" w:rsidR="00762323" w:rsidRDefault="00762323" w:rsidP="00D166A0">
      <w:pPr>
        <w:ind w:left="360"/>
        <w:rPr>
          <w:rStyle w:val="Emphasis"/>
          <w:b w:val="0"/>
        </w:rPr>
      </w:pPr>
    </w:p>
    <w:p w14:paraId="42B14383" w14:textId="77777777" w:rsidR="008C4234" w:rsidRDefault="00782B3C" w:rsidP="00D166A0">
      <w:pPr>
        <w:ind w:left="360"/>
        <w:rPr>
          <w:rStyle w:val="Emphasis"/>
          <w:b w:val="0"/>
        </w:rPr>
      </w:pPr>
      <w:r>
        <w:rPr>
          <w:rStyle w:val="Emphasis"/>
          <w:b w:val="0"/>
        </w:rPr>
        <w:t xml:space="preserve">The annual change of turnover volume index in retail trade  </w:t>
      </w:r>
    </w:p>
    <w:p w14:paraId="2577CE62" w14:textId="77777777" w:rsidR="002156EB" w:rsidRPr="002156EB" w:rsidRDefault="002156EB" w:rsidP="00D166A0">
      <w:pPr>
        <w:ind w:left="360"/>
        <w:rPr>
          <w:rStyle w:val="Emphasis"/>
          <w:rFonts w:asciiTheme="minorHAnsi" w:hAnsiTheme="minorHAnsi" w:cstheme="minorHAnsi"/>
          <w:color w:val="7F7F7F" w:themeColor="text1" w:themeTint="80"/>
          <w:spacing w:val="-20"/>
          <w:kern w:val="28"/>
          <w:sz w:val="24"/>
        </w:rPr>
      </w:pPr>
    </w:p>
    <w:p w14:paraId="00355E9F" w14:textId="77777777" w:rsidR="00FB3654" w:rsidRPr="008C4234" w:rsidRDefault="008C4234" w:rsidP="00D166A0">
      <w:pPr>
        <w:pStyle w:val="BodyText"/>
        <w:spacing w:line="360" w:lineRule="auto"/>
        <w:ind w:left="360" w:firstLine="0"/>
        <w:rPr>
          <w:rFonts w:asciiTheme="majorHAnsi" w:hAnsiTheme="majorHAnsi"/>
          <w:spacing w:val="-10"/>
        </w:rPr>
      </w:pPr>
      <w:r>
        <w:t>I</w:t>
      </w:r>
      <w:r w:rsidR="00FB3654" w:rsidRPr="000E079E">
        <w:t>n the group of Retail trade</w:t>
      </w:r>
      <w:r w:rsidR="00FB3654">
        <w:t>,</w:t>
      </w:r>
      <w:r w:rsidR="00FB3654" w:rsidRPr="000E079E">
        <w:t xml:space="preserve"> </w:t>
      </w:r>
      <w:r w:rsidR="007F6F7C">
        <w:t xml:space="preserve">excluding </w:t>
      </w:r>
      <w:r w:rsidR="007F6F7C" w:rsidRPr="000E079E">
        <w:t>the</w:t>
      </w:r>
      <w:r w:rsidR="00FB3654" w:rsidRPr="000E079E">
        <w:t xml:space="preserve"> retail sales of motor fuel, </w:t>
      </w:r>
      <w:r>
        <w:t>turnover volume</w:t>
      </w:r>
      <w:r w:rsidR="00FB3654" w:rsidRPr="000E079E">
        <w:t xml:space="preserve"> </w:t>
      </w:r>
      <w:r w:rsidR="009724EA">
        <w:t xml:space="preserve">during </w:t>
      </w:r>
      <w:r w:rsidR="001E5D72">
        <w:t>second</w:t>
      </w:r>
      <w:r w:rsidR="009724EA">
        <w:t xml:space="preserve"> quarter 202</w:t>
      </w:r>
      <w:r w:rsidR="002079EA">
        <w:t>4</w:t>
      </w:r>
      <w:r w:rsidR="009724EA">
        <w:t xml:space="preserve"> </w:t>
      </w:r>
      <w:r w:rsidR="00816FF3">
        <w:t>increased</w:t>
      </w:r>
      <w:r w:rsidR="00FB3654" w:rsidRPr="000E079E">
        <w:t xml:space="preserve"> </w:t>
      </w:r>
      <w:r w:rsidR="002079EA">
        <w:t>6.</w:t>
      </w:r>
      <w:r w:rsidR="001E5D72">
        <w:t>2</w:t>
      </w:r>
      <w:r w:rsidR="003C621A">
        <w:t xml:space="preserve"> %</w:t>
      </w:r>
      <w:r w:rsidR="003A3607">
        <w:t>,</w:t>
      </w:r>
      <w:r w:rsidR="00FB3654">
        <w:t xml:space="preserve"> </w:t>
      </w:r>
      <w:r w:rsidR="00FB3654" w:rsidRPr="000E079E">
        <w:t xml:space="preserve">compared </w:t>
      </w:r>
      <w:r w:rsidR="007F6F7C">
        <w:t xml:space="preserve">to </w:t>
      </w:r>
      <w:r w:rsidR="001E5D72">
        <w:t>second</w:t>
      </w:r>
      <w:r w:rsidR="00FB3654" w:rsidRPr="000E079E">
        <w:t xml:space="preserve"> </w:t>
      </w:r>
      <w:r w:rsidR="003D51D7">
        <w:t xml:space="preserve">quarter </w:t>
      </w:r>
      <w:r w:rsidR="00FB3654" w:rsidRPr="000E079E">
        <w:t xml:space="preserve">of </w:t>
      </w:r>
      <w:r w:rsidR="009F013A">
        <w:t>202</w:t>
      </w:r>
      <w:r w:rsidR="002079EA">
        <w:t>3</w:t>
      </w:r>
      <w:r w:rsidR="00FB3654" w:rsidRPr="000E079E">
        <w:t xml:space="preserve">. </w:t>
      </w:r>
    </w:p>
    <w:p w14:paraId="1A7BA526" w14:textId="77777777" w:rsidR="00FA49A2" w:rsidRDefault="008C4234" w:rsidP="00D166A0">
      <w:pPr>
        <w:pStyle w:val="BodyText"/>
        <w:spacing w:line="360" w:lineRule="auto"/>
        <w:ind w:left="360" w:firstLine="0"/>
      </w:pPr>
      <w:r>
        <w:t>In t</w:t>
      </w:r>
      <w:r w:rsidR="00BC1158">
        <w:t xml:space="preserve">he group of </w:t>
      </w:r>
      <w:r w:rsidR="0003795B" w:rsidRPr="000E079E">
        <w:t xml:space="preserve">“Food, beverages and tobacco in both specialized and </w:t>
      </w:r>
      <w:r w:rsidR="00166F28" w:rsidRPr="000E079E">
        <w:t>non-specialized</w:t>
      </w:r>
      <w:r w:rsidR="0003795B" w:rsidRPr="000E079E">
        <w:t xml:space="preserve"> stores”, the turnover </w:t>
      </w:r>
      <w:r w:rsidR="001246E6" w:rsidRPr="000E079E">
        <w:t xml:space="preserve">volume </w:t>
      </w:r>
      <w:r w:rsidR="001F4531">
        <w:t>increa</w:t>
      </w:r>
      <w:r w:rsidR="003D51D7">
        <w:t>sed</w:t>
      </w:r>
      <w:r w:rsidR="00AA78F2">
        <w:t xml:space="preserve"> </w:t>
      </w:r>
      <w:r w:rsidR="004C0F66">
        <w:t>5</w:t>
      </w:r>
      <w:r w:rsidR="0008516C">
        <w:t>.</w:t>
      </w:r>
      <w:r w:rsidR="005B4784">
        <w:t>6</w:t>
      </w:r>
      <w:r w:rsidR="00FA49A2">
        <w:t xml:space="preserve"> </w:t>
      </w:r>
      <w:r w:rsidR="008A3C4C">
        <w:t>%,</w:t>
      </w:r>
      <w:r w:rsidR="0003795B" w:rsidRPr="000E079E">
        <w:t xml:space="preserve"> compared with the same quarter of </w:t>
      </w:r>
      <w:r w:rsidR="007F6F7C">
        <w:t>20</w:t>
      </w:r>
      <w:r w:rsidR="003D51D7">
        <w:t>2</w:t>
      </w:r>
      <w:r w:rsidR="002079EA">
        <w:t>3</w:t>
      </w:r>
      <w:r>
        <w:t>.</w:t>
      </w:r>
    </w:p>
    <w:p w14:paraId="147B5CCE" w14:textId="77777777" w:rsidR="00AA78F2" w:rsidRDefault="00A93775" w:rsidP="00D166A0">
      <w:pPr>
        <w:pStyle w:val="BodyText"/>
        <w:spacing w:line="360" w:lineRule="auto"/>
        <w:ind w:left="360" w:firstLine="0"/>
      </w:pPr>
      <w:r>
        <w:t xml:space="preserve">Turnover </w:t>
      </w:r>
      <w:r w:rsidRPr="00CA1573">
        <w:t>volume</w:t>
      </w:r>
      <w:r>
        <w:t xml:space="preserve">, for </w:t>
      </w:r>
      <w:r w:rsidRPr="00CA1573">
        <w:t>the</w:t>
      </w:r>
      <w:r w:rsidR="00BC1158">
        <w:t xml:space="preserve"> group of “Non-food p</w:t>
      </w:r>
      <w:r w:rsidR="0003795B" w:rsidRPr="00CA1573">
        <w:t>roducts in specializ</w:t>
      </w:r>
      <w:r w:rsidR="005D2CE4">
        <w:t xml:space="preserve">ed and </w:t>
      </w:r>
      <w:r w:rsidR="00166F28">
        <w:t>non-specialized</w:t>
      </w:r>
      <w:r w:rsidR="005D2CE4">
        <w:t xml:space="preserve"> stores”</w:t>
      </w:r>
      <w:r w:rsidR="0003795B" w:rsidRPr="00CA1573">
        <w:t>, in the</w:t>
      </w:r>
      <w:r w:rsidR="00E10362">
        <w:t xml:space="preserve"> </w:t>
      </w:r>
      <w:r w:rsidR="005B4784">
        <w:t>second</w:t>
      </w:r>
      <w:r w:rsidR="00F61951">
        <w:t xml:space="preserve"> </w:t>
      </w:r>
      <w:r>
        <w:t>quarter 202</w:t>
      </w:r>
      <w:r w:rsidR="002079EA">
        <w:t>4</w:t>
      </w:r>
      <w:r w:rsidR="00173C49">
        <w:t xml:space="preserve"> </w:t>
      </w:r>
      <w:r w:rsidR="00816FF3">
        <w:t>increased</w:t>
      </w:r>
      <w:r>
        <w:t xml:space="preserve"> </w:t>
      </w:r>
      <w:r w:rsidR="002079EA">
        <w:t>6.</w:t>
      </w:r>
      <w:r w:rsidR="005B4784">
        <w:t>8</w:t>
      </w:r>
      <w:r w:rsidR="004C0F66">
        <w:t xml:space="preserve"> </w:t>
      </w:r>
      <w:r w:rsidR="008A3C4C" w:rsidRPr="00CA1573">
        <w:t xml:space="preserve">%, </w:t>
      </w:r>
      <w:r w:rsidR="0003795B" w:rsidRPr="00CA1573">
        <w:t>compared with the same</w:t>
      </w:r>
      <w:r w:rsidR="001246E6" w:rsidRPr="00CA1573">
        <w:t xml:space="preserve"> quarter of the previous year</w:t>
      </w:r>
      <w:r w:rsidR="00AA78F2">
        <w:t>.</w:t>
      </w:r>
    </w:p>
    <w:p w14:paraId="5BA3FCF1" w14:textId="77777777" w:rsidR="00090076" w:rsidRPr="001A50D1" w:rsidRDefault="008A3C4C" w:rsidP="00D166A0">
      <w:pPr>
        <w:pStyle w:val="BodyText"/>
        <w:spacing w:line="360" w:lineRule="auto"/>
        <w:ind w:left="360" w:firstLine="0"/>
        <w:rPr>
          <w:rStyle w:val="Emphasis"/>
          <w:rFonts w:asciiTheme="minorHAnsi" w:hAnsiTheme="minorHAnsi"/>
          <w:b w:val="0"/>
          <w:spacing w:val="-5"/>
        </w:rPr>
      </w:pPr>
      <w:r w:rsidRPr="00CA1573">
        <w:t>T</w:t>
      </w:r>
      <w:r w:rsidR="0003795B" w:rsidRPr="00CA1573">
        <w:t xml:space="preserve">he group “Motor fuel retail sales in specialized stores”, turnover </w:t>
      </w:r>
      <w:r w:rsidR="00AE3E52" w:rsidRPr="00CA1573">
        <w:t>volume</w:t>
      </w:r>
      <w:r w:rsidR="0003795B" w:rsidRPr="00CA1573">
        <w:t xml:space="preserve"> </w:t>
      </w:r>
      <w:r w:rsidR="003D51D7">
        <w:t>increased</w:t>
      </w:r>
      <w:r w:rsidR="00A93775">
        <w:t xml:space="preserve"> </w:t>
      </w:r>
      <w:r w:rsidR="005B4784">
        <w:t>5</w:t>
      </w:r>
      <w:r w:rsidR="002079EA">
        <w:t>.3</w:t>
      </w:r>
      <w:r w:rsidR="00296FD1">
        <w:t xml:space="preserve"> </w:t>
      </w:r>
      <w:r w:rsidRPr="00CA1573">
        <w:t xml:space="preserve">%, </w:t>
      </w:r>
      <w:r w:rsidR="0003795B" w:rsidRPr="00CA1573">
        <w:t>compared with the same quarter of the previous year</w:t>
      </w:r>
      <w:r w:rsidR="00C27FC1" w:rsidRPr="00CA1573">
        <w:t>.</w:t>
      </w:r>
    </w:p>
    <w:p w14:paraId="3D2B9F18" w14:textId="77777777" w:rsidR="00D771FD" w:rsidRDefault="00B73E1A" w:rsidP="00D166A0">
      <w:pPr>
        <w:pStyle w:val="BodyText"/>
        <w:spacing w:line="360" w:lineRule="auto"/>
        <w:ind w:left="360" w:firstLine="0"/>
        <w:rPr>
          <w:rStyle w:val="Emphasis"/>
          <w:b w:val="0"/>
        </w:rPr>
      </w:pPr>
      <w:r>
        <w:rPr>
          <w:rStyle w:val="Emphasis"/>
          <w:b w:val="0"/>
        </w:rPr>
        <w:lastRenderedPageBreak/>
        <w:t xml:space="preserve">The contribution of the main </w:t>
      </w:r>
      <w:r w:rsidR="0003795B" w:rsidRPr="000E079E">
        <w:rPr>
          <w:rStyle w:val="Emphasis"/>
          <w:b w:val="0"/>
        </w:rPr>
        <w:t xml:space="preserve">groups to the volume of the </w:t>
      </w:r>
      <w:r w:rsidR="007F5A67">
        <w:rPr>
          <w:rStyle w:val="Emphasis"/>
          <w:b w:val="0"/>
        </w:rPr>
        <w:t>r</w:t>
      </w:r>
      <w:r w:rsidR="0003795B" w:rsidRPr="000E079E">
        <w:rPr>
          <w:rStyle w:val="Emphasis"/>
          <w:b w:val="0"/>
        </w:rPr>
        <w:t xml:space="preserve">etail </w:t>
      </w:r>
      <w:r w:rsidR="007F5A67">
        <w:rPr>
          <w:rStyle w:val="Emphasis"/>
          <w:b w:val="0"/>
        </w:rPr>
        <w:t>t</w:t>
      </w:r>
      <w:r w:rsidR="0003795B" w:rsidRPr="000E079E">
        <w:rPr>
          <w:rStyle w:val="Emphasis"/>
          <w:b w:val="0"/>
        </w:rPr>
        <w:t xml:space="preserve">rade turnover index </w:t>
      </w:r>
      <w:r w:rsidR="00A93775">
        <w:rPr>
          <w:rStyle w:val="Emphasis"/>
          <w:b w:val="0"/>
        </w:rPr>
        <w:t xml:space="preserve"> </w:t>
      </w:r>
    </w:p>
    <w:p w14:paraId="4D833D33" w14:textId="77777777" w:rsidR="00A93775" w:rsidRDefault="00A93775" w:rsidP="00D166A0">
      <w:pPr>
        <w:pStyle w:val="BodyText"/>
        <w:spacing w:line="360" w:lineRule="auto"/>
        <w:ind w:left="360" w:firstLine="0"/>
        <w:jc w:val="left"/>
      </w:pPr>
      <w:r w:rsidRPr="00A93775">
        <w:t xml:space="preserve">On the annual change of </w:t>
      </w:r>
      <w:r w:rsidR="009F013A">
        <w:t>+</w:t>
      </w:r>
      <w:r w:rsidR="004B1D1C">
        <w:t>5</w:t>
      </w:r>
      <w:r w:rsidR="004C0F66">
        <w:t>.</w:t>
      </w:r>
      <w:r w:rsidR="002079EA">
        <w:t>9</w:t>
      </w:r>
      <w:r w:rsidRPr="00A93775">
        <w:t>%</w:t>
      </w:r>
      <w:r>
        <w:t xml:space="preserve">, on retail trade, on the </w:t>
      </w:r>
      <w:r w:rsidR="004B1D1C">
        <w:t>second</w:t>
      </w:r>
      <w:r w:rsidR="00277687">
        <w:t xml:space="preserve"> </w:t>
      </w:r>
      <w:r w:rsidR="003D51D7">
        <w:t>quarter 202</w:t>
      </w:r>
      <w:r w:rsidR="002079EA">
        <w:t>4</w:t>
      </w:r>
      <w:r w:rsidR="003A3607">
        <w:t>,</w:t>
      </w:r>
      <w:r>
        <w:t xml:space="preserve"> compared to the same quarter of previous year, group contribution is as follows:</w:t>
      </w:r>
    </w:p>
    <w:p w14:paraId="3ECFB36E" w14:textId="77777777" w:rsidR="004C0F66" w:rsidRDefault="004C0F66" w:rsidP="00D166A0">
      <w:pPr>
        <w:pStyle w:val="BodyText"/>
        <w:spacing w:line="360" w:lineRule="auto"/>
        <w:ind w:left="360" w:firstLine="0"/>
        <w:jc w:val="left"/>
      </w:pPr>
      <w:r w:rsidRPr="004C0F66">
        <w:t>The group “Non-food Products in specialized and non-specialized stores” with +</w:t>
      </w:r>
      <w:r>
        <w:t>2.</w:t>
      </w:r>
      <w:r w:rsidR="004B1D1C">
        <w:t>7</w:t>
      </w:r>
      <w:r w:rsidRPr="004C0F66">
        <w:t xml:space="preserve"> percentages point</w:t>
      </w:r>
      <w:r>
        <w:t>.</w:t>
      </w:r>
      <w:r w:rsidRPr="004C0F66">
        <w:t xml:space="preserve"> The group</w:t>
      </w:r>
      <w:r>
        <w:t xml:space="preserve"> “</w:t>
      </w:r>
      <w:r w:rsidRPr="000E079E">
        <w:t>Food, beverages and tobacco in both specialized and non-specialized stores”</w:t>
      </w:r>
      <w:r>
        <w:t xml:space="preserve"> </w:t>
      </w:r>
      <w:r w:rsidRPr="001C6655">
        <w:t>with +</w:t>
      </w:r>
      <w:r>
        <w:t>1.</w:t>
      </w:r>
      <w:r w:rsidR="004B1D1C">
        <w:t>9</w:t>
      </w:r>
      <w:r>
        <w:t xml:space="preserve"> percentage point and </w:t>
      </w:r>
      <w:r w:rsidRPr="004C0F66">
        <w:t xml:space="preserve">“Retail sale of motor </w:t>
      </w:r>
      <w:r>
        <w:t>fuel” have contributed with +</w:t>
      </w:r>
      <w:r w:rsidR="004B1D1C">
        <w:t>1</w:t>
      </w:r>
      <w:r w:rsidR="002079EA">
        <w:t>.</w:t>
      </w:r>
      <w:r w:rsidR="004B1D1C">
        <w:t>3</w:t>
      </w:r>
      <w:r>
        <w:t xml:space="preserve"> </w:t>
      </w:r>
      <w:r w:rsidRPr="004C0F66">
        <w:t>percentage point.</w:t>
      </w:r>
    </w:p>
    <w:p w14:paraId="41235E00" w14:textId="77777777" w:rsidR="00466211" w:rsidRDefault="003A48FB" w:rsidP="00D166A0">
      <w:pPr>
        <w:pStyle w:val="BodyText"/>
        <w:spacing w:line="360" w:lineRule="auto"/>
        <w:ind w:left="0"/>
        <w:rPr>
          <w:rFonts w:cstheme="minorHAnsi"/>
          <w:b/>
          <w:color w:val="7F7F7F" w:themeColor="text1" w:themeTint="80"/>
          <w:spacing w:val="-20"/>
          <w:kern w:val="28"/>
          <w:sz w:val="24"/>
        </w:rPr>
      </w:pPr>
      <w:r>
        <w:rPr>
          <w:rFonts w:cstheme="minorHAnsi"/>
          <w:b/>
          <w:color w:val="7F7F7F" w:themeColor="text1" w:themeTint="80"/>
          <w:spacing w:val="-20"/>
          <w:kern w:val="28"/>
          <w:sz w:val="24"/>
          <w:szCs w:val="24"/>
        </w:rPr>
        <w:t xml:space="preserve">Fig. 2 </w:t>
      </w:r>
      <w:r w:rsidR="003E45C8" w:rsidRPr="001F1A27">
        <w:rPr>
          <w:rFonts w:cstheme="minorHAnsi"/>
          <w:b/>
          <w:color w:val="7F7F7F" w:themeColor="text1" w:themeTint="80"/>
          <w:spacing w:val="-20"/>
          <w:kern w:val="28"/>
          <w:sz w:val="24"/>
        </w:rPr>
        <w:t>Contribution of t</w:t>
      </w:r>
      <w:r w:rsidR="003E45C8">
        <w:rPr>
          <w:rFonts w:cstheme="minorHAnsi"/>
          <w:b/>
          <w:color w:val="7F7F7F" w:themeColor="text1" w:themeTint="80"/>
          <w:spacing w:val="-20"/>
          <w:kern w:val="28"/>
          <w:sz w:val="24"/>
        </w:rPr>
        <w:t xml:space="preserve">he main branches of the retail trade </w:t>
      </w:r>
      <w:r w:rsidR="003E45C8" w:rsidRPr="001F1A27">
        <w:rPr>
          <w:rFonts w:cstheme="minorHAnsi"/>
          <w:b/>
          <w:color w:val="7F7F7F" w:themeColor="text1" w:themeTint="80"/>
          <w:spacing w:val="-20"/>
          <w:kern w:val="28"/>
          <w:sz w:val="24"/>
        </w:rPr>
        <w:t>to real growth rate</w:t>
      </w:r>
      <w:r w:rsidR="003E45C8">
        <w:rPr>
          <w:rFonts w:cstheme="minorHAnsi"/>
          <w:b/>
          <w:color w:val="7F7F7F" w:themeColor="text1" w:themeTint="80"/>
          <w:spacing w:val="-20"/>
          <w:kern w:val="28"/>
          <w:sz w:val="24"/>
        </w:rPr>
        <w:t xml:space="preserve"> </w:t>
      </w:r>
      <w:r w:rsidR="003E45C8">
        <w:t>(</w:t>
      </w:r>
      <w:r w:rsidR="0033158A">
        <w:rPr>
          <w:rFonts w:cstheme="minorHAnsi"/>
          <w:b/>
          <w:color w:val="7F7F7F" w:themeColor="text1" w:themeTint="80"/>
          <w:spacing w:val="-20"/>
          <w:kern w:val="28"/>
          <w:sz w:val="24"/>
        </w:rPr>
        <w:t>q</w:t>
      </w:r>
      <w:r w:rsidR="00127C6E">
        <w:rPr>
          <w:rFonts w:cstheme="minorHAnsi"/>
          <w:b/>
          <w:color w:val="7F7F7F" w:themeColor="text1" w:themeTint="80"/>
          <w:spacing w:val="-20"/>
          <w:kern w:val="28"/>
          <w:sz w:val="24"/>
        </w:rPr>
        <w:t>2</w:t>
      </w:r>
      <w:r w:rsidR="00E4034A">
        <w:rPr>
          <w:rFonts w:cstheme="minorHAnsi"/>
          <w:b/>
          <w:color w:val="7F7F7F" w:themeColor="text1" w:themeTint="80"/>
          <w:spacing w:val="-20"/>
          <w:kern w:val="28"/>
          <w:sz w:val="24"/>
        </w:rPr>
        <w:t>-</w:t>
      </w:r>
      <w:r w:rsidR="001A50D1">
        <w:rPr>
          <w:rFonts w:cstheme="minorHAnsi"/>
          <w:b/>
          <w:color w:val="7F7F7F" w:themeColor="text1" w:themeTint="80"/>
          <w:spacing w:val="-20"/>
          <w:kern w:val="28"/>
          <w:sz w:val="24"/>
        </w:rPr>
        <w:t>20</w:t>
      </w:r>
      <w:r w:rsidR="007D78FA">
        <w:rPr>
          <w:rFonts w:cstheme="minorHAnsi"/>
          <w:b/>
          <w:color w:val="7F7F7F" w:themeColor="text1" w:themeTint="80"/>
          <w:spacing w:val="-20"/>
          <w:kern w:val="28"/>
          <w:sz w:val="24"/>
        </w:rPr>
        <w:t>2</w:t>
      </w:r>
      <w:r w:rsidR="002079EA">
        <w:rPr>
          <w:rFonts w:cstheme="minorHAnsi"/>
          <w:b/>
          <w:color w:val="7F7F7F" w:themeColor="text1" w:themeTint="80"/>
          <w:spacing w:val="-20"/>
          <w:kern w:val="28"/>
          <w:sz w:val="24"/>
        </w:rPr>
        <w:t>4</w:t>
      </w:r>
      <w:r w:rsidR="0009567F">
        <w:rPr>
          <w:rFonts w:cstheme="minorHAnsi"/>
          <w:b/>
          <w:color w:val="7F7F7F" w:themeColor="text1" w:themeTint="80"/>
          <w:spacing w:val="-20"/>
          <w:kern w:val="28"/>
          <w:sz w:val="24"/>
        </w:rPr>
        <w:t xml:space="preserve"> </w:t>
      </w:r>
      <w:r w:rsidR="00B41CEF">
        <w:rPr>
          <w:rFonts w:cstheme="minorHAnsi"/>
          <w:b/>
          <w:color w:val="7F7F7F" w:themeColor="text1" w:themeTint="80"/>
          <w:spacing w:val="-20"/>
          <w:kern w:val="28"/>
          <w:sz w:val="24"/>
        </w:rPr>
        <w:t>/</w:t>
      </w:r>
      <w:r w:rsidR="007D78FA">
        <w:rPr>
          <w:rFonts w:cstheme="minorHAnsi"/>
          <w:b/>
          <w:color w:val="7F7F7F" w:themeColor="text1" w:themeTint="80"/>
          <w:spacing w:val="-20"/>
          <w:kern w:val="28"/>
          <w:sz w:val="24"/>
        </w:rPr>
        <w:t xml:space="preserve"> q</w:t>
      </w:r>
      <w:r w:rsidR="00127C6E">
        <w:rPr>
          <w:rFonts w:cstheme="minorHAnsi"/>
          <w:b/>
          <w:color w:val="7F7F7F" w:themeColor="text1" w:themeTint="80"/>
          <w:spacing w:val="-20"/>
          <w:kern w:val="28"/>
          <w:sz w:val="24"/>
        </w:rPr>
        <w:t>2</w:t>
      </w:r>
      <w:r w:rsidR="007D78FA">
        <w:rPr>
          <w:rFonts w:cstheme="minorHAnsi"/>
          <w:b/>
          <w:color w:val="7F7F7F" w:themeColor="text1" w:themeTint="80"/>
          <w:spacing w:val="-20"/>
          <w:kern w:val="28"/>
          <w:sz w:val="24"/>
        </w:rPr>
        <w:t>-202</w:t>
      </w:r>
      <w:r w:rsidR="002079EA">
        <w:rPr>
          <w:rFonts w:cstheme="minorHAnsi"/>
          <w:b/>
          <w:color w:val="7F7F7F" w:themeColor="text1" w:themeTint="80"/>
          <w:spacing w:val="-20"/>
          <w:kern w:val="28"/>
          <w:sz w:val="24"/>
        </w:rPr>
        <w:t>3</w:t>
      </w:r>
      <w:r w:rsidR="003E45C8">
        <w:rPr>
          <w:rFonts w:cstheme="minorHAnsi"/>
          <w:b/>
          <w:color w:val="7F7F7F" w:themeColor="text1" w:themeTint="80"/>
          <w:spacing w:val="-20"/>
          <w:kern w:val="28"/>
          <w:sz w:val="24"/>
        </w:rPr>
        <w:t>).</w:t>
      </w:r>
    </w:p>
    <w:p w14:paraId="04D9F414" w14:textId="77777777" w:rsidR="004C0F66" w:rsidRDefault="001570BE" w:rsidP="00D166A0">
      <w:pPr>
        <w:pStyle w:val="BodyText"/>
        <w:spacing w:line="360" w:lineRule="auto"/>
        <w:ind w:left="0" w:firstLine="270"/>
        <w:rPr>
          <w:rFonts w:cstheme="minorHAnsi"/>
          <w:b/>
          <w:color w:val="7F7F7F" w:themeColor="text1" w:themeTint="80"/>
          <w:spacing w:val="-20"/>
          <w:kern w:val="28"/>
          <w:sz w:val="24"/>
        </w:rPr>
      </w:pPr>
      <w:r w:rsidRPr="00D4583E">
        <w:rPr>
          <w:noProof/>
          <w:sz w:val="16"/>
        </w:rPr>
        <w:drawing>
          <wp:inline distT="0" distB="0" distL="0" distR="0" wp14:anchorId="3F544A58" wp14:editId="1FB4F8B3">
            <wp:extent cx="6098651" cy="2106930"/>
            <wp:effectExtent l="0" t="0" r="0" b="0"/>
            <wp:docPr id="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756115" w14:textId="77777777" w:rsidR="003E45C8" w:rsidRPr="005547BF" w:rsidRDefault="008E7A1B" w:rsidP="00D166A0">
      <w:pPr>
        <w:pStyle w:val="BodyText"/>
        <w:spacing w:line="360" w:lineRule="auto"/>
        <w:ind w:left="0"/>
        <w:rPr>
          <w:rStyle w:val="Emphasis"/>
          <w:rFonts w:asciiTheme="minorHAnsi" w:hAnsiTheme="minorHAnsi" w:cstheme="minorHAnsi"/>
          <w:color w:val="7F7F7F" w:themeColor="text1" w:themeTint="80"/>
          <w:spacing w:val="-20"/>
          <w:kern w:val="28"/>
          <w:sz w:val="24"/>
        </w:rPr>
      </w:pPr>
      <w:r>
        <w:rPr>
          <w:rStyle w:val="Emphasis"/>
          <w:b w:val="0"/>
        </w:rPr>
        <w:t>The quarterly change of t</w:t>
      </w:r>
      <w:r w:rsidR="000C122F">
        <w:rPr>
          <w:rStyle w:val="Emphasis"/>
          <w:b w:val="0"/>
        </w:rPr>
        <w:t xml:space="preserve">urnover volume index seasonally </w:t>
      </w:r>
      <w:r>
        <w:rPr>
          <w:rStyle w:val="Emphasis"/>
          <w:b w:val="0"/>
        </w:rPr>
        <w:t xml:space="preserve">adjusted  </w:t>
      </w:r>
    </w:p>
    <w:p w14:paraId="0A1A36DA" w14:textId="77777777" w:rsidR="008E7A1B" w:rsidRDefault="008E7A1B" w:rsidP="00D166A0">
      <w:pPr>
        <w:pStyle w:val="BodyText"/>
        <w:spacing w:line="360" w:lineRule="auto"/>
        <w:ind w:left="360" w:firstLine="0"/>
      </w:pPr>
      <w:r w:rsidRPr="000E079E">
        <w:t>In the</w:t>
      </w:r>
      <w:r w:rsidR="00E4034A">
        <w:t xml:space="preserve"> </w:t>
      </w:r>
      <w:r w:rsidR="005B7F23">
        <w:t>second</w:t>
      </w:r>
      <w:r w:rsidR="00913506">
        <w:t xml:space="preserve"> </w:t>
      </w:r>
      <w:r w:rsidR="00DA4A6A">
        <w:t>quarter 202</w:t>
      </w:r>
      <w:r w:rsidR="002079EA">
        <w:t>4</w:t>
      </w:r>
      <w:r w:rsidRPr="000E079E">
        <w:t xml:space="preserve">, the group of </w:t>
      </w:r>
      <w:r>
        <w:t>r</w:t>
      </w:r>
      <w:r w:rsidRPr="000E079E">
        <w:t>etail trade</w:t>
      </w:r>
      <w:r>
        <w:t>,</w:t>
      </w:r>
      <w:r w:rsidRPr="000E079E">
        <w:t xml:space="preserve"> </w:t>
      </w:r>
      <w:r w:rsidR="00090076">
        <w:t>excluding</w:t>
      </w:r>
      <w:r w:rsidRPr="000E079E">
        <w:t xml:space="preserve"> the retail sales of motor fuel, </w:t>
      </w:r>
      <w:r>
        <w:t>turnover volume</w:t>
      </w:r>
      <w:r w:rsidRPr="000E079E">
        <w:t xml:space="preserve"> </w:t>
      </w:r>
      <w:r>
        <w:t xml:space="preserve">seasonally adjusted </w:t>
      </w:r>
      <w:r w:rsidR="001C6655">
        <w:t>increased</w:t>
      </w:r>
      <w:r w:rsidR="00337A52">
        <w:t xml:space="preserve"> </w:t>
      </w:r>
      <w:r w:rsidR="002079EA">
        <w:t>1.</w:t>
      </w:r>
      <w:r w:rsidR="00D4583E">
        <w:t>2</w:t>
      </w:r>
      <w:r w:rsidR="005B7F23">
        <w:t xml:space="preserve"> </w:t>
      </w:r>
      <w:r w:rsidR="00337A52">
        <w:t>%</w:t>
      </w:r>
      <w:r w:rsidR="003A3607">
        <w:t>,</w:t>
      </w:r>
      <w:r w:rsidR="00337A52">
        <w:t xml:space="preserve"> compared</w:t>
      </w:r>
      <w:r w:rsidR="0099564B">
        <w:t xml:space="preserve"> to </w:t>
      </w:r>
      <w:r w:rsidR="005B7F23">
        <w:t>previous quarter</w:t>
      </w:r>
      <w:r w:rsidR="00F555CA">
        <w:t xml:space="preserve">. </w:t>
      </w:r>
      <w:r w:rsidRPr="000E079E">
        <w:t xml:space="preserve"> </w:t>
      </w:r>
    </w:p>
    <w:p w14:paraId="2AB702F7" w14:textId="77777777" w:rsidR="008E7A1B" w:rsidRDefault="008E7A1B" w:rsidP="00D166A0">
      <w:pPr>
        <w:pStyle w:val="BodyText"/>
        <w:spacing w:line="360" w:lineRule="auto"/>
        <w:ind w:left="360" w:firstLine="0"/>
      </w:pPr>
      <w:r>
        <w:t>In t</w:t>
      </w:r>
      <w:r w:rsidRPr="000E079E">
        <w:t xml:space="preserve">he group of “Food, beverages and tobacco in both specialized and </w:t>
      </w:r>
      <w:r w:rsidR="001A041E" w:rsidRPr="000E079E">
        <w:t>non</w:t>
      </w:r>
      <w:r w:rsidR="001A041E">
        <w:t>-</w:t>
      </w:r>
      <w:r w:rsidR="001A041E" w:rsidRPr="000E079E">
        <w:t>specialized</w:t>
      </w:r>
      <w:r w:rsidRPr="000E079E">
        <w:t xml:space="preserve"> stores”, the turnover volume </w:t>
      </w:r>
      <w:r w:rsidR="00F555CA">
        <w:t>seasonally adjusted</w:t>
      </w:r>
      <w:r w:rsidR="00703DA0">
        <w:t xml:space="preserve"> </w:t>
      </w:r>
      <w:r w:rsidR="005B7F23">
        <w:t>in</w:t>
      </w:r>
      <w:r w:rsidR="002079EA">
        <w:t>creased</w:t>
      </w:r>
      <w:r w:rsidR="0009567F">
        <w:t xml:space="preserve"> </w:t>
      </w:r>
      <w:r w:rsidR="005B7F23">
        <w:t>1</w:t>
      </w:r>
      <w:r w:rsidR="002079EA">
        <w:t>.</w:t>
      </w:r>
      <w:r w:rsidR="005B7F23">
        <w:t>4</w:t>
      </w:r>
      <w:r w:rsidR="005872A7">
        <w:t xml:space="preserve"> </w:t>
      </w:r>
      <w:r w:rsidR="001C6655">
        <w:t>%</w:t>
      </w:r>
      <w:r w:rsidR="003A3607">
        <w:t>,</w:t>
      </w:r>
      <w:r w:rsidRPr="000E079E">
        <w:t xml:space="preserve"> compared </w:t>
      </w:r>
      <w:r w:rsidR="008A681B">
        <w:t>to</w:t>
      </w:r>
      <w:r w:rsidRPr="000E079E">
        <w:t xml:space="preserve"> </w:t>
      </w:r>
      <w:r w:rsidR="00F555CA">
        <w:t xml:space="preserve">previous quarter. </w:t>
      </w:r>
    </w:p>
    <w:p w14:paraId="49F9994B" w14:textId="77777777" w:rsidR="008E7A1B" w:rsidRPr="00CA1573" w:rsidRDefault="00F555CA" w:rsidP="00D166A0">
      <w:pPr>
        <w:pStyle w:val="BodyText"/>
        <w:spacing w:line="360" w:lineRule="auto"/>
        <w:ind w:left="360" w:firstLine="0"/>
      </w:pPr>
      <w:r>
        <w:t>In the</w:t>
      </w:r>
      <w:r w:rsidR="008E7A1B" w:rsidRPr="00CA1573">
        <w:t xml:space="preserve"> group of “Non-food Products in specialized and </w:t>
      </w:r>
      <w:r w:rsidR="001A041E" w:rsidRPr="00CA1573">
        <w:t>non</w:t>
      </w:r>
      <w:r w:rsidR="001A041E">
        <w:t>-</w:t>
      </w:r>
      <w:r w:rsidR="001A041E" w:rsidRPr="00CA1573">
        <w:t>specialized</w:t>
      </w:r>
      <w:r w:rsidR="008E7A1B" w:rsidRPr="00CA1573">
        <w:t xml:space="preserve"> stores”, the </w:t>
      </w:r>
      <w:r w:rsidRPr="00CA1573">
        <w:t xml:space="preserve">volume </w:t>
      </w:r>
      <w:r w:rsidR="008E7A1B" w:rsidRPr="00CA1573">
        <w:t xml:space="preserve">of turnover </w:t>
      </w:r>
      <w:r>
        <w:t xml:space="preserve">seasonally </w:t>
      </w:r>
      <w:r w:rsidR="003E45C8">
        <w:t>adjusted</w:t>
      </w:r>
      <w:r w:rsidR="008E7A1B" w:rsidRPr="00CA1573">
        <w:t xml:space="preserve"> in the </w:t>
      </w:r>
      <w:r w:rsidR="00FD34D0">
        <w:t xml:space="preserve">second </w:t>
      </w:r>
      <w:r w:rsidR="008E7A1B" w:rsidRPr="00CA1573">
        <w:t>quarter 20</w:t>
      </w:r>
      <w:r w:rsidR="00DA4A6A">
        <w:t>2</w:t>
      </w:r>
      <w:r w:rsidR="002079EA">
        <w:t>4</w:t>
      </w:r>
      <w:r w:rsidR="00DA4A6A">
        <w:t xml:space="preserve"> </w:t>
      </w:r>
      <w:r w:rsidR="006D1F57">
        <w:t>in</w:t>
      </w:r>
      <w:r w:rsidR="00063DEF">
        <w:t>creased</w:t>
      </w:r>
      <w:r w:rsidR="001C6655">
        <w:t xml:space="preserve"> </w:t>
      </w:r>
      <w:r w:rsidR="00FD34D0">
        <w:t>1.2</w:t>
      </w:r>
      <w:r w:rsidR="00F61951">
        <w:t xml:space="preserve"> </w:t>
      </w:r>
      <w:r w:rsidR="00D771FD">
        <w:t>%</w:t>
      </w:r>
      <w:r w:rsidR="008E7A1B" w:rsidRPr="00CA1573">
        <w:t>, compared</w:t>
      </w:r>
      <w:r w:rsidR="000C122F">
        <w:t xml:space="preserve"> </w:t>
      </w:r>
      <w:r w:rsidR="008A681B">
        <w:t>to</w:t>
      </w:r>
      <w:r w:rsidR="008E7A1B" w:rsidRPr="00CA1573">
        <w:t xml:space="preserve"> previous </w:t>
      </w:r>
      <w:r>
        <w:t xml:space="preserve">quarter. </w:t>
      </w:r>
    </w:p>
    <w:p w14:paraId="077AAABD" w14:textId="77777777" w:rsidR="00762323" w:rsidRDefault="00F555CA" w:rsidP="00D166A0">
      <w:pPr>
        <w:pStyle w:val="BodyText"/>
        <w:spacing w:line="360" w:lineRule="auto"/>
        <w:ind w:left="360" w:firstLine="0"/>
      </w:pPr>
      <w:r>
        <w:t>In t</w:t>
      </w:r>
      <w:r w:rsidR="008E7A1B" w:rsidRPr="00CA1573">
        <w:t>he group “Motor f</w:t>
      </w:r>
      <w:r w:rsidR="002079EA">
        <w:t>u</w:t>
      </w:r>
      <w:r w:rsidR="008E7A1B" w:rsidRPr="00CA1573">
        <w:t xml:space="preserve">el retail sales in specialized stores”, the value of </w:t>
      </w:r>
      <w:r w:rsidRPr="00CA1573">
        <w:t xml:space="preserve">volume </w:t>
      </w:r>
      <w:r w:rsidR="008E7A1B" w:rsidRPr="00CA1573">
        <w:t>turnover index</w:t>
      </w:r>
      <w:r>
        <w:t xml:space="preserve"> seasonally adjusted</w:t>
      </w:r>
      <w:r w:rsidR="008E7A1B" w:rsidRPr="00CA1573">
        <w:t xml:space="preserve"> </w:t>
      </w:r>
      <w:r w:rsidR="00FD34D0">
        <w:t>in</w:t>
      </w:r>
      <w:r w:rsidR="004C0F66">
        <w:t xml:space="preserve">creased </w:t>
      </w:r>
      <w:r w:rsidR="00FD34D0">
        <w:t>4</w:t>
      </w:r>
      <w:r w:rsidR="004C0F66">
        <w:t>.</w:t>
      </w:r>
      <w:r w:rsidR="00FD34D0">
        <w:t>8</w:t>
      </w:r>
      <w:r w:rsidR="005F3E36">
        <w:t xml:space="preserve"> %</w:t>
      </w:r>
      <w:r w:rsidR="008E7A1B" w:rsidRPr="00CA1573">
        <w:t xml:space="preserve">, compared </w:t>
      </w:r>
      <w:r w:rsidR="003E45C8">
        <w:t>to the</w:t>
      </w:r>
      <w:r>
        <w:t xml:space="preserve"> </w:t>
      </w:r>
      <w:r w:rsidR="00FD34D0">
        <w:t>first</w:t>
      </w:r>
      <w:r w:rsidR="0009567F">
        <w:t xml:space="preserve"> </w:t>
      </w:r>
      <w:r w:rsidR="001C6655">
        <w:t>quarter</w:t>
      </w:r>
      <w:r w:rsidR="008E7A1B" w:rsidRPr="00CA1573">
        <w:t xml:space="preserve"> </w:t>
      </w:r>
      <w:r>
        <w:t>20</w:t>
      </w:r>
      <w:r w:rsidR="00B63CAF">
        <w:t>2</w:t>
      </w:r>
      <w:r w:rsidR="00FD34D0">
        <w:t>4</w:t>
      </w:r>
      <w:r>
        <w:t>.</w:t>
      </w:r>
    </w:p>
    <w:p w14:paraId="07F4DBFF" w14:textId="77777777" w:rsidR="00D166A0" w:rsidRPr="00762323" w:rsidRDefault="00D166A0" w:rsidP="00762323">
      <w:pPr>
        <w:pStyle w:val="BodyText"/>
        <w:spacing w:line="360" w:lineRule="auto"/>
        <w:ind w:left="630" w:firstLine="0"/>
      </w:pPr>
    </w:p>
    <w:p w14:paraId="57A8761D" w14:textId="77777777" w:rsidR="0025115E" w:rsidRPr="00595F0A" w:rsidRDefault="00B574D5" w:rsidP="00DC6D10">
      <w:pPr>
        <w:pStyle w:val="BodyText"/>
        <w:spacing w:line="240" w:lineRule="auto"/>
        <w:ind w:left="0" w:firstLine="0"/>
      </w:pPr>
      <w:r>
        <w:rPr>
          <w:rFonts w:asciiTheme="majorHAnsi" w:hAnsiTheme="majorHAnsi" w:cstheme="minorHAnsi"/>
          <w:b/>
          <w:color w:val="7F7F7F" w:themeColor="text1" w:themeTint="80"/>
          <w:spacing w:val="-20"/>
          <w:kern w:val="28"/>
          <w:sz w:val="18"/>
          <w:szCs w:val="18"/>
        </w:rPr>
        <w:lastRenderedPageBreak/>
        <w:t xml:space="preserve">          </w:t>
      </w:r>
      <w:r w:rsidR="0025115E" w:rsidRPr="00976B5F">
        <w:rPr>
          <w:rFonts w:asciiTheme="majorHAnsi" w:hAnsiTheme="majorHAnsi" w:cstheme="minorHAnsi"/>
          <w:b/>
          <w:color w:val="7F7F7F" w:themeColor="text1" w:themeTint="80"/>
          <w:spacing w:val="-20"/>
          <w:kern w:val="28"/>
          <w:szCs w:val="18"/>
        </w:rPr>
        <w:t xml:space="preserve">Tab. 1 </w:t>
      </w:r>
      <w:r w:rsidR="0003795B" w:rsidRPr="00976B5F">
        <w:rPr>
          <w:rFonts w:asciiTheme="majorHAnsi" w:hAnsiTheme="majorHAnsi" w:cstheme="minorHAnsi"/>
          <w:b/>
          <w:color w:val="7F7F7F" w:themeColor="text1" w:themeTint="80"/>
          <w:spacing w:val="-20"/>
          <w:kern w:val="28"/>
          <w:szCs w:val="18"/>
        </w:rPr>
        <w:t xml:space="preserve">Annual </w:t>
      </w:r>
      <w:r w:rsidR="009E4884" w:rsidRPr="00976B5F">
        <w:rPr>
          <w:rFonts w:asciiTheme="majorHAnsi" w:hAnsiTheme="majorHAnsi" w:cstheme="minorHAnsi"/>
          <w:b/>
          <w:color w:val="7F7F7F" w:themeColor="text1" w:themeTint="80"/>
          <w:spacing w:val="-20"/>
          <w:kern w:val="28"/>
          <w:szCs w:val="18"/>
        </w:rPr>
        <w:t xml:space="preserve">turnover </w:t>
      </w:r>
      <w:r w:rsidR="0003795B" w:rsidRPr="00976B5F">
        <w:rPr>
          <w:rFonts w:asciiTheme="majorHAnsi" w:hAnsiTheme="majorHAnsi" w:cstheme="minorHAnsi"/>
          <w:b/>
          <w:color w:val="7F7F7F" w:themeColor="text1" w:themeTint="80"/>
          <w:spacing w:val="-20"/>
          <w:kern w:val="28"/>
          <w:szCs w:val="18"/>
        </w:rPr>
        <w:t xml:space="preserve">change on </w:t>
      </w:r>
      <w:r w:rsidR="00D30922" w:rsidRPr="00976B5F">
        <w:rPr>
          <w:rFonts w:asciiTheme="majorHAnsi" w:hAnsiTheme="majorHAnsi" w:cstheme="minorHAnsi"/>
          <w:b/>
          <w:color w:val="7F7F7F" w:themeColor="text1" w:themeTint="80"/>
          <w:spacing w:val="-20"/>
          <w:kern w:val="28"/>
          <w:szCs w:val="18"/>
        </w:rPr>
        <w:t>R</w:t>
      </w:r>
      <w:r w:rsidR="0003795B" w:rsidRPr="00976B5F">
        <w:rPr>
          <w:rFonts w:asciiTheme="majorHAnsi" w:hAnsiTheme="majorHAnsi" w:cstheme="minorHAnsi"/>
          <w:b/>
          <w:color w:val="7F7F7F" w:themeColor="text1" w:themeTint="80"/>
          <w:spacing w:val="-20"/>
          <w:kern w:val="28"/>
          <w:szCs w:val="18"/>
        </w:rPr>
        <w:t xml:space="preserve">etail </w:t>
      </w:r>
      <w:r w:rsidR="00D30922" w:rsidRPr="00976B5F">
        <w:rPr>
          <w:rFonts w:asciiTheme="majorHAnsi" w:hAnsiTheme="majorHAnsi" w:cstheme="minorHAnsi"/>
          <w:b/>
          <w:color w:val="7F7F7F" w:themeColor="text1" w:themeTint="80"/>
          <w:spacing w:val="-20"/>
          <w:kern w:val="28"/>
          <w:szCs w:val="18"/>
        </w:rPr>
        <w:t>T</w:t>
      </w:r>
      <w:r w:rsidR="0003795B" w:rsidRPr="00976B5F">
        <w:rPr>
          <w:rFonts w:asciiTheme="majorHAnsi" w:hAnsiTheme="majorHAnsi" w:cstheme="minorHAnsi"/>
          <w:b/>
          <w:color w:val="7F7F7F" w:themeColor="text1" w:themeTint="80"/>
          <w:spacing w:val="-20"/>
          <w:kern w:val="28"/>
          <w:szCs w:val="18"/>
        </w:rPr>
        <w:t xml:space="preserve">rade and </w:t>
      </w:r>
      <w:r w:rsidR="00D30922" w:rsidRPr="00976B5F">
        <w:rPr>
          <w:rFonts w:asciiTheme="majorHAnsi" w:hAnsiTheme="majorHAnsi" w:cstheme="minorHAnsi"/>
          <w:b/>
          <w:color w:val="7F7F7F" w:themeColor="text1" w:themeTint="80"/>
          <w:spacing w:val="-20"/>
          <w:kern w:val="28"/>
          <w:szCs w:val="18"/>
        </w:rPr>
        <w:t>R</w:t>
      </w:r>
      <w:r w:rsidR="0003795B" w:rsidRPr="00976B5F">
        <w:rPr>
          <w:rFonts w:asciiTheme="majorHAnsi" w:hAnsiTheme="majorHAnsi" w:cstheme="minorHAnsi"/>
          <w:b/>
          <w:color w:val="7F7F7F" w:themeColor="text1" w:themeTint="80"/>
          <w:spacing w:val="-20"/>
          <w:kern w:val="28"/>
          <w:szCs w:val="18"/>
        </w:rPr>
        <w:t xml:space="preserve">etail </w:t>
      </w:r>
      <w:r w:rsidR="00D30922" w:rsidRPr="00976B5F">
        <w:rPr>
          <w:rFonts w:asciiTheme="majorHAnsi" w:hAnsiTheme="majorHAnsi" w:cstheme="minorHAnsi"/>
          <w:b/>
          <w:color w:val="7F7F7F" w:themeColor="text1" w:themeTint="80"/>
          <w:spacing w:val="-20"/>
          <w:kern w:val="28"/>
          <w:szCs w:val="18"/>
        </w:rPr>
        <w:t>S</w:t>
      </w:r>
      <w:r w:rsidR="0003795B" w:rsidRPr="00976B5F">
        <w:rPr>
          <w:rFonts w:asciiTheme="majorHAnsi" w:hAnsiTheme="majorHAnsi" w:cstheme="minorHAnsi"/>
          <w:b/>
          <w:color w:val="7F7F7F" w:themeColor="text1" w:themeTint="80"/>
          <w:spacing w:val="-20"/>
          <w:kern w:val="28"/>
          <w:szCs w:val="18"/>
        </w:rPr>
        <w:t>ale of motor fuel</w:t>
      </w:r>
      <w:r w:rsidR="00A30BB5" w:rsidRPr="00976B5F">
        <w:rPr>
          <w:rFonts w:asciiTheme="majorHAnsi" w:hAnsiTheme="majorHAnsi" w:cstheme="minorHAnsi"/>
          <w:b/>
          <w:color w:val="7F7F7F" w:themeColor="text1" w:themeTint="80"/>
          <w:spacing w:val="-20"/>
          <w:kern w:val="28"/>
          <w:szCs w:val="18"/>
        </w:rPr>
        <w:t xml:space="preserve"> seasonally unadjusted</w:t>
      </w:r>
    </w:p>
    <w:tbl>
      <w:tblPr>
        <w:tblW w:w="9449" w:type="dxa"/>
        <w:tblInd w:w="558" w:type="dxa"/>
        <w:tblLook w:val="04A0" w:firstRow="1" w:lastRow="0" w:firstColumn="1" w:lastColumn="0" w:noHBand="0" w:noVBand="1"/>
      </w:tblPr>
      <w:tblGrid>
        <w:gridCol w:w="962"/>
        <w:gridCol w:w="170"/>
        <w:gridCol w:w="3904"/>
        <w:gridCol w:w="859"/>
        <w:gridCol w:w="932"/>
        <w:gridCol w:w="977"/>
        <w:gridCol w:w="786"/>
        <w:gridCol w:w="859"/>
      </w:tblGrid>
      <w:tr w:rsidR="00DC6D10" w:rsidRPr="00976B5F" w14:paraId="0A47567D" w14:textId="77777777" w:rsidTr="00D166A0">
        <w:trPr>
          <w:trHeight w:val="49"/>
        </w:trPr>
        <w:tc>
          <w:tcPr>
            <w:tcW w:w="5036" w:type="dxa"/>
            <w:gridSpan w:val="3"/>
            <w:tcBorders>
              <w:top w:val="nil"/>
              <w:left w:val="nil"/>
              <w:bottom w:val="single" w:sz="8" w:space="0" w:color="CF7B79"/>
              <w:right w:val="nil"/>
            </w:tcBorders>
            <w:shd w:val="clear" w:color="auto" w:fill="auto"/>
            <w:noWrap/>
            <w:vAlign w:val="bottom"/>
            <w:hideMark/>
          </w:tcPr>
          <w:p w14:paraId="74C82461" w14:textId="77777777" w:rsidR="0025115E" w:rsidRPr="00976B5F" w:rsidRDefault="0025115E" w:rsidP="00DC6D10">
            <w:pPr>
              <w:rPr>
                <w:rFonts w:ascii="Arial Narrow" w:hAnsi="Arial Narrow" w:cs="Arial"/>
                <w:color w:val="000000"/>
                <w:spacing w:val="0"/>
                <w:sz w:val="16"/>
                <w:szCs w:val="16"/>
              </w:rPr>
            </w:pPr>
          </w:p>
        </w:tc>
        <w:tc>
          <w:tcPr>
            <w:tcW w:w="0" w:type="auto"/>
            <w:gridSpan w:val="2"/>
            <w:tcBorders>
              <w:top w:val="nil"/>
              <w:left w:val="nil"/>
              <w:bottom w:val="single" w:sz="8" w:space="0" w:color="CF7B79"/>
              <w:right w:val="nil"/>
            </w:tcBorders>
            <w:shd w:val="clear" w:color="auto" w:fill="auto"/>
            <w:noWrap/>
            <w:vAlign w:val="bottom"/>
            <w:hideMark/>
          </w:tcPr>
          <w:p w14:paraId="3D288204" w14:textId="77777777" w:rsidR="0025115E" w:rsidRPr="00976B5F" w:rsidRDefault="0025115E" w:rsidP="00DC6D10">
            <w:pPr>
              <w:rPr>
                <w:rFonts w:ascii="Arial Narrow" w:hAnsi="Arial Narrow" w:cs="Arial"/>
                <w:color w:val="000000"/>
                <w:spacing w:val="0"/>
                <w:sz w:val="16"/>
                <w:szCs w:val="16"/>
              </w:rPr>
            </w:pPr>
            <w:r w:rsidRPr="00976B5F">
              <w:rPr>
                <w:rFonts w:ascii="Arial Narrow" w:hAnsi="Arial Narrow" w:cs="Arial"/>
                <w:color w:val="000000"/>
                <w:spacing w:val="0"/>
                <w:sz w:val="16"/>
                <w:szCs w:val="16"/>
              </w:rPr>
              <w:t> </w:t>
            </w:r>
          </w:p>
        </w:tc>
        <w:tc>
          <w:tcPr>
            <w:tcW w:w="0" w:type="auto"/>
            <w:gridSpan w:val="2"/>
            <w:tcBorders>
              <w:top w:val="nil"/>
              <w:left w:val="nil"/>
              <w:bottom w:val="single" w:sz="8" w:space="0" w:color="CF7B79"/>
              <w:right w:val="nil"/>
            </w:tcBorders>
            <w:shd w:val="clear" w:color="auto" w:fill="auto"/>
            <w:noWrap/>
            <w:vAlign w:val="bottom"/>
            <w:hideMark/>
          </w:tcPr>
          <w:p w14:paraId="5610B921" w14:textId="77777777" w:rsidR="0025115E" w:rsidRPr="00976B5F" w:rsidRDefault="0025115E" w:rsidP="00DC6D10">
            <w:pPr>
              <w:rPr>
                <w:rFonts w:ascii="Arial Narrow" w:hAnsi="Arial Narrow" w:cs="Arial"/>
                <w:color w:val="000000"/>
                <w:spacing w:val="0"/>
                <w:sz w:val="16"/>
                <w:szCs w:val="16"/>
              </w:rPr>
            </w:pPr>
          </w:p>
        </w:tc>
        <w:tc>
          <w:tcPr>
            <w:tcW w:w="0" w:type="auto"/>
            <w:tcBorders>
              <w:top w:val="nil"/>
              <w:left w:val="nil"/>
              <w:bottom w:val="single" w:sz="8" w:space="0" w:color="CF7B79"/>
              <w:right w:val="nil"/>
            </w:tcBorders>
            <w:shd w:val="clear" w:color="auto" w:fill="auto"/>
            <w:noWrap/>
            <w:vAlign w:val="bottom"/>
            <w:hideMark/>
          </w:tcPr>
          <w:p w14:paraId="5A9B137C" w14:textId="77777777" w:rsidR="0025115E" w:rsidRPr="00976B5F" w:rsidRDefault="0025115E" w:rsidP="00DC6D10">
            <w:pPr>
              <w:jc w:val="right"/>
              <w:rPr>
                <w:rFonts w:ascii="Arial Narrow" w:hAnsi="Arial Narrow" w:cs="Arial"/>
                <w:color w:val="000000"/>
                <w:spacing w:val="0"/>
                <w:sz w:val="16"/>
                <w:szCs w:val="16"/>
              </w:rPr>
            </w:pPr>
            <w:r w:rsidRPr="00976B5F">
              <w:rPr>
                <w:rFonts w:ascii="Arial Narrow" w:hAnsi="Arial Narrow" w:cs="Arial"/>
                <w:color w:val="000000"/>
                <w:spacing w:val="0"/>
                <w:sz w:val="16"/>
                <w:szCs w:val="16"/>
              </w:rPr>
              <w:t>%</w:t>
            </w:r>
          </w:p>
        </w:tc>
      </w:tr>
      <w:tr w:rsidR="0064668E" w:rsidRPr="00976B5F" w14:paraId="799D8137" w14:textId="77777777" w:rsidTr="00D166A0">
        <w:trPr>
          <w:trHeight w:val="197"/>
        </w:trPr>
        <w:tc>
          <w:tcPr>
            <w:tcW w:w="962" w:type="dxa"/>
            <w:tcBorders>
              <w:top w:val="single" w:sz="8" w:space="0" w:color="CF7B79"/>
              <w:left w:val="single" w:sz="8" w:space="0" w:color="CF7B79"/>
              <w:right w:val="nil"/>
            </w:tcBorders>
            <w:shd w:val="clear" w:color="000000" w:fill="C0504D"/>
            <w:noWrap/>
            <w:vAlign w:val="center"/>
            <w:hideMark/>
          </w:tcPr>
          <w:p w14:paraId="6DCDB619" w14:textId="77777777" w:rsidR="0008516C" w:rsidRPr="00976B5F" w:rsidRDefault="0008516C" w:rsidP="00976B5F">
            <w:pPr>
              <w:rPr>
                <w:rFonts w:ascii="Arial Narrow" w:hAnsi="Arial Narrow" w:cs="Arial"/>
                <w:b/>
                <w:bCs/>
                <w:color w:val="FFFFFF"/>
                <w:spacing w:val="0"/>
                <w:sz w:val="16"/>
                <w:szCs w:val="16"/>
                <w:lang w:eastAsia="sq-AL"/>
              </w:rPr>
            </w:pPr>
            <w:r w:rsidRPr="00976B5F">
              <w:rPr>
                <w:rFonts w:ascii="Arial Narrow" w:hAnsi="Arial Narrow" w:cs="Arial"/>
                <w:b/>
                <w:bCs/>
                <w:color w:val="FFFFFF"/>
                <w:spacing w:val="0"/>
                <w:sz w:val="16"/>
                <w:szCs w:val="16"/>
                <w:lang w:eastAsia="sq-AL"/>
              </w:rPr>
              <w:t>NACE</w:t>
            </w:r>
            <w:r w:rsidR="00F73ED7" w:rsidRPr="00976B5F">
              <w:rPr>
                <w:rFonts w:ascii="Arial Narrow" w:hAnsi="Arial Narrow" w:cs="Arial"/>
                <w:b/>
                <w:bCs/>
                <w:color w:val="FFFFFF"/>
                <w:spacing w:val="0"/>
                <w:sz w:val="16"/>
                <w:szCs w:val="16"/>
                <w:lang w:eastAsia="sq-AL"/>
              </w:rPr>
              <w:t xml:space="preserve">     </w:t>
            </w:r>
          </w:p>
        </w:tc>
        <w:tc>
          <w:tcPr>
            <w:tcW w:w="4074" w:type="dxa"/>
            <w:gridSpan w:val="2"/>
            <w:tcBorders>
              <w:top w:val="single" w:sz="8" w:space="0" w:color="CF7B79"/>
              <w:left w:val="nil"/>
              <w:right w:val="nil"/>
            </w:tcBorders>
            <w:shd w:val="clear" w:color="000000" w:fill="C0504D"/>
            <w:noWrap/>
            <w:vAlign w:val="center"/>
            <w:hideMark/>
          </w:tcPr>
          <w:p w14:paraId="07CFE23C" w14:textId="77777777" w:rsidR="0008516C" w:rsidRPr="00976B5F" w:rsidRDefault="00F73ED7" w:rsidP="00976B5F">
            <w:pPr>
              <w:rPr>
                <w:rFonts w:ascii="Arial Narrow" w:hAnsi="Arial Narrow" w:cs="Arial"/>
                <w:b/>
                <w:color w:val="FFFFFF"/>
                <w:spacing w:val="0"/>
                <w:sz w:val="16"/>
                <w:szCs w:val="16"/>
                <w:lang w:eastAsia="sq-AL"/>
              </w:rPr>
            </w:pPr>
            <w:r w:rsidRPr="00976B5F">
              <w:rPr>
                <w:rFonts w:ascii="Arial Narrow" w:hAnsi="Arial Narrow" w:cs="Arial"/>
                <w:b/>
                <w:color w:val="FFFFFF"/>
                <w:spacing w:val="0"/>
                <w:sz w:val="16"/>
                <w:szCs w:val="16"/>
                <w:lang w:eastAsia="sq-AL"/>
              </w:rPr>
              <w:t xml:space="preserve">    </w:t>
            </w:r>
            <w:r w:rsidR="0008516C" w:rsidRPr="00976B5F">
              <w:rPr>
                <w:rFonts w:ascii="Arial Narrow" w:hAnsi="Arial Narrow" w:cs="Arial"/>
                <w:b/>
                <w:color w:val="FFFFFF"/>
                <w:spacing w:val="0"/>
                <w:sz w:val="16"/>
                <w:szCs w:val="16"/>
                <w:lang w:eastAsia="sq-AL"/>
              </w:rPr>
              <w:t>Economic activity</w:t>
            </w:r>
          </w:p>
        </w:tc>
        <w:tc>
          <w:tcPr>
            <w:tcW w:w="0" w:type="auto"/>
            <w:tcBorders>
              <w:top w:val="single" w:sz="8" w:space="0" w:color="CF7B79"/>
              <w:left w:val="nil"/>
              <w:right w:val="single" w:sz="8" w:space="0" w:color="CF7B79"/>
            </w:tcBorders>
            <w:shd w:val="clear" w:color="000000" w:fill="C0504D"/>
            <w:noWrap/>
            <w:hideMark/>
          </w:tcPr>
          <w:p w14:paraId="4D26C2BB" w14:textId="77777777" w:rsidR="0008516C" w:rsidRPr="00976B5F" w:rsidRDefault="00B54722" w:rsidP="00976B5F">
            <w:pPr>
              <w:jc w:val="right"/>
              <w:rPr>
                <w:rFonts w:ascii="Arial Narrow" w:hAnsi="Arial Narrow" w:cs="Arial"/>
                <w:b/>
                <w:bCs/>
                <w:color w:val="FFFFFF"/>
                <w:sz w:val="16"/>
                <w:szCs w:val="16"/>
                <w:lang w:val="sq-AL"/>
              </w:rPr>
            </w:pPr>
            <w:r w:rsidRPr="00976B5F">
              <w:rPr>
                <w:rFonts w:ascii="Arial Narrow" w:hAnsi="Arial Narrow" w:cs="Arial"/>
                <w:b/>
                <w:bCs/>
                <w:color w:val="FFFFFF"/>
                <w:sz w:val="16"/>
                <w:szCs w:val="16"/>
                <w:lang w:val="sq-AL"/>
              </w:rPr>
              <w:t>I</w:t>
            </w:r>
            <w:r w:rsidR="0008516C" w:rsidRPr="00976B5F">
              <w:rPr>
                <w:rFonts w:ascii="Arial Narrow" w:hAnsi="Arial Narrow" w:cs="Arial"/>
                <w:b/>
                <w:bCs/>
                <w:color w:val="FFFFFF"/>
                <w:sz w:val="16"/>
                <w:szCs w:val="16"/>
                <w:lang w:val="sq-AL"/>
              </w:rPr>
              <w:t>I.23 /</w:t>
            </w:r>
            <w:r w:rsidRPr="00976B5F">
              <w:rPr>
                <w:rFonts w:ascii="Arial Narrow" w:hAnsi="Arial Narrow" w:cs="Arial"/>
                <w:b/>
                <w:bCs/>
                <w:color w:val="FFFFFF"/>
                <w:sz w:val="16"/>
                <w:szCs w:val="16"/>
                <w:lang w:val="sq-AL"/>
              </w:rPr>
              <w:t>I</w:t>
            </w:r>
            <w:r w:rsidR="0008516C" w:rsidRPr="00976B5F">
              <w:rPr>
                <w:rFonts w:ascii="Arial Narrow" w:hAnsi="Arial Narrow" w:cs="Arial"/>
                <w:b/>
                <w:bCs/>
                <w:color w:val="FFFFFF"/>
                <w:sz w:val="16"/>
                <w:szCs w:val="16"/>
                <w:lang w:val="sq-AL"/>
              </w:rPr>
              <w:t>I.22</w:t>
            </w:r>
          </w:p>
        </w:tc>
        <w:tc>
          <w:tcPr>
            <w:tcW w:w="0" w:type="auto"/>
            <w:tcBorders>
              <w:top w:val="single" w:sz="8" w:space="0" w:color="CF7B79"/>
              <w:left w:val="nil"/>
              <w:right w:val="single" w:sz="8" w:space="0" w:color="CF7B79"/>
            </w:tcBorders>
            <w:shd w:val="clear" w:color="000000" w:fill="C0504D"/>
            <w:noWrap/>
          </w:tcPr>
          <w:p w14:paraId="63095CD8" w14:textId="77777777" w:rsidR="0008516C" w:rsidRPr="00976B5F" w:rsidRDefault="0008516C" w:rsidP="00976B5F">
            <w:pPr>
              <w:jc w:val="right"/>
              <w:rPr>
                <w:rFonts w:ascii="Arial Narrow" w:hAnsi="Arial Narrow" w:cs="Arial"/>
                <w:b/>
                <w:bCs/>
                <w:color w:val="FFFFFF"/>
                <w:sz w:val="16"/>
                <w:szCs w:val="16"/>
                <w:lang w:val="sq-AL"/>
              </w:rPr>
            </w:pPr>
            <w:r w:rsidRPr="00976B5F">
              <w:rPr>
                <w:rFonts w:ascii="Arial Narrow" w:hAnsi="Arial Narrow" w:cs="Arial"/>
                <w:b/>
                <w:bCs/>
                <w:color w:val="FFFFFF"/>
                <w:sz w:val="16"/>
                <w:szCs w:val="16"/>
                <w:lang w:val="sq-AL"/>
              </w:rPr>
              <w:t>II</w:t>
            </w:r>
            <w:r w:rsidR="00B54722" w:rsidRPr="00976B5F">
              <w:rPr>
                <w:rFonts w:ascii="Arial Narrow" w:hAnsi="Arial Narrow" w:cs="Arial"/>
                <w:b/>
                <w:bCs/>
                <w:color w:val="FFFFFF"/>
                <w:sz w:val="16"/>
                <w:szCs w:val="16"/>
                <w:lang w:val="sq-AL"/>
              </w:rPr>
              <w:t>I</w:t>
            </w:r>
            <w:r w:rsidRPr="00976B5F">
              <w:rPr>
                <w:rFonts w:ascii="Arial Narrow" w:hAnsi="Arial Narrow" w:cs="Arial"/>
                <w:b/>
                <w:bCs/>
                <w:color w:val="FFFFFF"/>
                <w:sz w:val="16"/>
                <w:szCs w:val="16"/>
                <w:lang w:val="sq-AL"/>
              </w:rPr>
              <w:t>.23 /</w:t>
            </w:r>
            <w:r w:rsidR="00B54722" w:rsidRPr="00976B5F">
              <w:rPr>
                <w:rFonts w:ascii="Arial Narrow" w:hAnsi="Arial Narrow" w:cs="Arial"/>
                <w:b/>
                <w:bCs/>
                <w:color w:val="FFFFFF"/>
                <w:sz w:val="16"/>
                <w:szCs w:val="16"/>
                <w:lang w:val="sq-AL"/>
              </w:rPr>
              <w:t>I</w:t>
            </w:r>
            <w:r w:rsidRPr="00976B5F">
              <w:rPr>
                <w:rFonts w:ascii="Arial Narrow" w:hAnsi="Arial Narrow" w:cs="Arial"/>
                <w:b/>
                <w:bCs/>
                <w:color w:val="FFFFFF"/>
                <w:sz w:val="16"/>
                <w:szCs w:val="16"/>
                <w:lang w:val="sq-AL"/>
              </w:rPr>
              <w:t>II.22</w:t>
            </w:r>
          </w:p>
        </w:tc>
        <w:tc>
          <w:tcPr>
            <w:tcW w:w="0" w:type="auto"/>
            <w:tcBorders>
              <w:top w:val="single" w:sz="8" w:space="0" w:color="CF7B79"/>
              <w:left w:val="nil"/>
              <w:right w:val="single" w:sz="8" w:space="0" w:color="CF7B79"/>
            </w:tcBorders>
            <w:shd w:val="clear" w:color="000000" w:fill="C0504D"/>
            <w:noWrap/>
          </w:tcPr>
          <w:p w14:paraId="793BAD4C" w14:textId="77777777" w:rsidR="0008516C" w:rsidRPr="00976B5F" w:rsidRDefault="0008516C" w:rsidP="00976B5F">
            <w:pPr>
              <w:jc w:val="right"/>
              <w:rPr>
                <w:rFonts w:ascii="Arial Narrow" w:hAnsi="Arial Narrow" w:cs="Arial"/>
                <w:b/>
                <w:bCs/>
                <w:color w:val="FFFFFF"/>
                <w:sz w:val="16"/>
                <w:szCs w:val="16"/>
                <w:lang w:val="sq-AL"/>
              </w:rPr>
            </w:pPr>
            <w:r w:rsidRPr="00976B5F">
              <w:rPr>
                <w:rFonts w:ascii="Arial Narrow" w:hAnsi="Arial Narrow" w:cs="Arial"/>
                <w:b/>
                <w:bCs/>
                <w:color w:val="FFFFFF"/>
                <w:sz w:val="16"/>
                <w:szCs w:val="16"/>
                <w:lang w:val="sq-AL"/>
              </w:rPr>
              <w:t>I</w:t>
            </w:r>
            <w:r w:rsidR="00B54722" w:rsidRPr="00976B5F">
              <w:rPr>
                <w:rFonts w:ascii="Arial Narrow" w:hAnsi="Arial Narrow" w:cs="Arial"/>
                <w:b/>
                <w:bCs/>
                <w:color w:val="FFFFFF"/>
                <w:sz w:val="16"/>
                <w:szCs w:val="16"/>
                <w:lang w:val="sq-AL"/>
              </w:rPr>
              <w:t>V</w:t>
            </w:r>
            <w:r w:rsidRPr="00976B5F">
              <w:rPr>
                <w:rFonts w:ascii="Arial Narrow" w:hAnsi="Arial Narrow" w:cs="Arial"/>
                <w:b/>
                <w:bCs/>
                <w:color w:val="FFFFFF"/>
                <w:sz w:val="16"/>
                <w:szCs w:val="16"/>
                <w:lang w:val="sq-AL"/>
              </w:rPr>
              <w:t>.23 /I</w:t>
            </w:r>
            <w:r w:rsidR="00B54722" w:rsidRPr="00976B5F">
              <w:rPr>
                <w:rFonts w:ascii="Arial Narrow" w:hAnsi="Arial Narrow" w:cs="Arial"/>
                <w:b/>
                <w:bCs/>
                <w:color w:val="FFFFFF"/>
                <w:sz w:val="16"/>
                <w:szCs w:val="16"/>
                <w:lang w:val="sq-AL"/>
              </w:rPr>
              <w:t>V</w:t>
            </w:r>
            <w:r w:rsidRPr="00976B5F">
              <w:rPr>
                <w:rFonts w:ascii="Arial Narrow" w:hAnsi="Arial Narrow" w:cs="Arial"/>
                <w:b/>
                <w:bCs/>
                <w:color w:val="FFFFFF"/>
                <w:sz w:val="16"/>
                <w:szCs w:val="16"/>
                <w:lang w:val="sq-AL"/>
              </w:rPr>
              <w:t>.22</w:t>
            </w:r>
          </w:p>
        </w:tc>
        <w:tc>
          <w:tcPr>
            <w:tcW w:w="0" w:type="auto"/>
            <w:tcBorders>
              <w:top w:val="single" w:sz="8" w:space="0" w:color="CF7B79"/>
              <w:left w:val="nil"/>
              <w:right w:val="nil"/>
            </w:tcBorders>
            <w:shd w:val="clear" w:color="000000" w:fill="C0504D"/>
            <w:noWrap/>
          </w:tcPr>
          <w:p w14:paraId="01742CDB" w14:textId="77777777" w:rsidR="0008516C" w:rsidRPr="00976B5F" w:rsidRDefault="00B54722" w:rsidP="00976B5F">
            <w:pPr>
              <w:jc w:val="right"/>
              <w:rPr>
                <w:rFonts w:ascii="Arial Narrow" w:hAnsi="Arial Narrow" w:cs="Arial"/>
                <w:b/>
                <w:bCs/>
                <w:color w:val="FFFFFF"/>
                <w:sz w:val="16"/>
                <w:szCs w:val="16"/>
                <w:lang w:val="sq-AL"/>
              </w:rPr>
            </w:pPr>
            <w:r w:rsidRPr="00976B5F">
              <w:rPr>
                <w:rFonts w:ascii="Arial Narrow" w:hAnsi="Arial Narrow" w:cs="Arial"/>
                <w:b/>
                <w:bCs/>
                <w:color w:val="FFFFFF"/>
                <w:sz w:val="16"/>
                <w:szCs w:val="16"/>
                <w:lang w:val="sq-AL"/>
              </w:rPr>
              <w:t>I</w:t>
            </w:r>
            <w:r w:rsidR="0008516C" w:rsidRPr="00976B5F">
              <w:rPr>
                <w:rFonts w:ascii="Arial Narrow" w:hAnsi="Arial Narrow" w:cs="Arial"/>
                <w:b/>
                <w:bCs/>
                <w:color w:val="FFFFFF"/>
                <w:sz w:val="16"/>
                <w:szCs w:val="16"/>
                <w:lang w:val="sq-AL"/>
              </w:rPr>
              <w:t>.2</w:t>
            </w:r>
            <w:r w:rsidR="007D263C" w:rsidRPr="00976B5F">
              <w:rPr>
                <w:rFonts w:ascii="Arial Narrow" w:hAnsi="Arial Narrow" w:cs="Arial"/>
                <w:b/>
                <w:bCs/>
                <w:color w:val="FFFFFF"/>
                <w:sz w:val="16"/>
                <w:szCs w:val="16"/>
                <w:lang w:val="sq-AL"/>
              </w:rPr>
              <w:t>4</w:t>
            </w:r>
            <w:r w:rsidR="0008516C" w:rsidRPr="00976B5F">
              <w:rPr>
                <w:rFonts w:ascii="Arial Narrow" w:hAnsi="Arial Narrow" w:cs="Arial"/>
                <w:b/>
                <w:bCs/>
                <w:color w:val="FFFFFF"/>
                <w:sz w:val="16"/>
                <w:szCs w:val="16"/>
                <w:lang w:val="sq-AL"/>
              </w:rPr>
              <w:t xml:space="preserve"> /</w:t>
            </w:r>
            <w:r w:rsidRPr="00976B5F">
              <w:rPr>
                <w:rFonts w:ascii="Arial Narrow" w:hAnsi="Arial Narrow" w:cs="Arial"/>
                <w:b/>
                <w:bCs/>
                <w:color w:val="FFFFFF"/>
                <w:sz w:val="16"/>
                <w:szCs w:val="16"/>
                <w:lang w:val="sq-AL"/>
              </w:rPr>
              <w:t>I</w:t>
            </w:r>
            <w:r w:rsidR="0008516C" w:rsidRPr="00976B5F">
              <w:rPr>
                <w:rFonts w:ascii="Arial Narrow" w:hAnsi="Arial Narrow" w:cs="Arial"/>
                <w:b/>
                <w:bCs/>
                <w:color w:val="FFFFFF"/>
                <w:sz w:val="16"/>
                <w:szCs w:val="16"/>
                <w:lang w:val="sq-AL"/>
              </w:rPr>
              <w:t>.2</w:t>
            </w:r>
            <w:r w:rsidRPr="00976B5F">
              <w:rPr>
                <w:rFonts w:ascii="Arial Narrow" w:hAnsi="Arial Narrow" w:cs="Arial"/>
                <w:b/>
                <w:bCs/>
                <w:color w:val="FFFFFF"/>
                <w:sz w:val="16"/>
                <w:szCs w:val="16"/>
                <w:lang w:val="sq-AL"/>
              </w:rPr>
              <w:t>3</w:t>
            </w:r>
          </w:p>
        </w:tc>
        <w:tc>
          <w:tcPr>
            <w:tcW w:w="0" w:type="auto"/>
            <w:tcBorders>
              <w:top w:val="single" w:sz="8" w:space="0" w:color="CF7B79"/>
              <w:left w:val="nil"/>
              <w:right w:val="single" w:sz="8" w:space="0" w:color="CF7B79"/>
            </w:tcBorders>
            <w:shd w:val="clear" w:color="000000" w:fill="C0504D"/>
            <w:noWrap/>
          </w:tcPr>
          <w:p w14:paraId="60E984EE" w14:textId="77777777" w:rsidR="0008516C" w:rsidRPr="00976B5F" w:rsidRDefault="0008516C" w:rsidP="00976B5F">
            <w:pPr>
              <w:jc w:val="right"/>
              <w:rPr>
                <w:rFonts w:ascii="Arial Narrow" w:hAnsi="Arial Narrow" w:cs="Arial"/>
                <w:b/>
                <w:bCs/>
                <w:color w:val="FFFFFF"/>
                <w:sz w:val="16"/>
                <w:szCs w:val="16"/>
                <w:lang w:val="sq-AL"/>
              </w:rPr>
            </w:pPr>
            <w:r w:rsidRPr="00976B5F">
              <w:rPr>
                <w:rFonts w:ascii="Arial Narrow" w:hAnsi="Arial Narrow" w:cs="Arial"/>
                <w:b/>
                <w:bCs/>
                <w:color w:val="FFFFFF"/>
                <w:sz w:val="16"/>
                <w:szCs w:val="16"/>
                <w:lang w:val="sq-AL"/>
              </w:rPr>
              <w:t>I</w:t>
            </w:r>
            <w:r w:rsidR="00B54722" w:rsidRPr="00976B5F">
              <w:rPr>
                <w:rFonts w:ascii="Arial Narrow" w:hAnsi="Arial Narrow" w:cs="Arial"/>
                <w:b/>
                <w:bCs/>
                <w:color w:val="FFFFFF"/>
                <w:sz w:val="16"/>
                <w:szCs w:val="16"/>
                <w:lang w:val="sq-AL"/>
              </w:rPr>
              <w:t>I</w:t>
            </w:r>
            <w:r w:rsidRPr="00976B5F">
              <w:rPr>
                <w:rFonts w:ascii="Arial Narrow" w:hAnsi="Arial Narrow" w:cs="Arial"/>
                <w:b/>
                <w:bCs/>
                <w:color w:val="FFFFFF"/>
                <w:sz w:val="16"/>
                <w:szCs w:val="16"/>
                <w:lang w:val="sq-AL"/>
              </w:rPr>
              <w:t>.2</w:t>
            </w:r>
            <w:r w:rsidR="00BB7C69" w:rsidRPr="00976B5F">
              <w:rPr>
                <w:rFonts w:ascii="Arial Narrow" w:hAnsi="Arial Narrow" w:cs="Arial"/>
                <w:b/>
                <w:bCs/>
                <w:color w:val="FFFFFF"/>
                <w:sz w:val="16"/>
                <w:szCs w:val="16"/>
                <w:lang w:val="sq-AL"/>
              </w:rPr>
              <w:t>4</w:t>
            </w:r>
            <w:r w:rsidRPr="00976B5F">
              <w:rPr>
                <w:rFonts w:ascii="Arial Narrow" w:hAnsi="Arial Narrow" w:cs="Arial"/>
                <w:b/>
                <w:bCs/>
                <w:color w:val="FFFFFF"/>
                <w:sz w:val="16"/>
                <w:szCs w:val="16"/>
                <w:lang w:val="sq-AL"/>
              </w:rPr>
              <w:t xml:space="preserve"> /I</w:t>
            </w:r>
            <w:r w:rsidR="00B54722" w:rsidRPr="00976B5F">
              <w:rPr>
                <w:rFonts w:ascii="Arial Narrow" w:hAnsi="Arial Narrow" w:cs="Arial"/>
                <w:b/>
                <w:bCs/>
                <w:color w:val="FFFFFF"/>
                <w:sz w:val="16"/>
                <w:szCs w:val="16"/>
                <w:lang w:val="sq-AL"/>
              </w:rPr>
              <w:t>I</w:t>
            </w:r>
            <w:r w:rsidRPr="00976B5F">
              <w:rPr>
                <w:rFonts w:ascii="Arial Narrow" w:hAnsi="Arial Narrow" w:cs="Arial"/>
                <w:b/>
                <w:bCs/>
                <w:color w:val="FFFFFF"/>
                <w:sz w:val="16"/>
                <w:szCs w:val="16"/>
                <w:lang w:val="sq-AL"/>
              </w:rPr>
              <w:t>.2</w:t>
            </w:r>
            <w:r w:rsidR="00BB7C69" w:rsidRPr="00976B5F">
              <w:rPr>
                <w:rFonts w:ascii="Arial Narrow" w:hAnsi="Arial Narrow" w:cs="Arial"/>
                <w:b/>
                <w:bCs/>
                <w:color w:val="FFFFFF"/>
                <w:sz w:val="16"/>
                <w:szCs w:val="16"/>
                <w:lang w:val="sq-AL"/>
              </w:rPr>
              <w:t>3</w:t>
            </w:r>
          </w:p>
        </w:tc>
      </w:tr>
      <w:tr w:rsidR="0064668E" w:rsidRPr="00976B5F" w14:paraId="165C608B" w14:textId="77777777" w:rsidTr="00D166A0">
        <w:trPr>
          <w:trHeight w:val="247"/>
        </w:trPr>
        <w:tc>
          <w:tcPr>
            <w:tcW w:w="1132" w:type="dxa"/>
            <w:gridSpan w:val="2"/>
            <w:tcBorders>
              <w:left w:val="single" w:sz="8" w:space="0" w:color="CF7B79"/>
              <w:bottom w:val="single" w:sz="8" w:space="0" w:color="CF7B79"/>
              <w:right w:val="nil"/>
            </w:tcBorders>
            <w:shd w:val="clear" w:color="000000" w:fill="EFD3D2"/>
            <w:noWrap/>
            <w:vAlign w:val="center"/>
            <w:hideMark/>
          </w:tcPr>
          <w:p w14:paraId="2A730FB8" w14:textId="77777777" w:rsidR="0008516C" w:rsidRPr="00976B5F" w:rsidRDefault="0008516C" w:rsidP="00976B5F">
            <w:pPr>
              <w:rPr>
                <w:rFonts w:ascii="Arial Narrow" w:hAnsi="Arial Narrow" w:cs="Arial"/>
                <w:b/>
                <w:bCs/>
                <w:color w:val="000000"/>
                <w:spacing w:val="0"/>
                <w:sz w:val="16"/>
                <w:szCs w:val="16"/>
                <w:lang w:eastAsia="sq-AL"/>
              </w:rPr>
            </w:pPr>
            <w:r w:rsidRPr="00976B5F">
              <w:rPr>
                <w:rFonts w:ascii="Arial Narrow" w:hAnsi="Arial Narrow" w:cs="Arial"/>
                <w:b/>
                <w:bCs/>
                <w:color w:val="000000"/>
                <w:spacing w:val="0"/>
                <w:sz w:val="16"/>
                <w:szCs w:val="16"/>
                <w:lang w:eastAsia="sq-AL"/>
              </w:rPr>
              <w:t>47</w:t>
            </w:r>
          </w:p>
        </w:tc>
        <w:tc>
          <w:tcPr>
            <w:tcW w:w="3904" w:type="dxa"/>
            <w:tcBorders>
              <w:left w:val="nil"/>
              <w:bottom w:val="single" w:sz="8" w:space="0" w:color="CF7B79"/>
              <w:right w:val="nil"/>
            </w:tcBorders>
            <w:shd w:val="clear" w:color="000000" w:fill="EFD3D2"/>
            <w:noWrap/>
            <w:vAlign w:val="center"/>
            <w:hideMark/>
          </w:tcPr>
          <w:p w14:paraId="1B2EDFAF" w14:textId="77777777" w:rsidR="0008516C" w:rsidRPr="00976B5F" w:rsidRDefault="0008516C" w:rsidP="0008516C">
            <w:pPr>
              <w:rPr>
                <w:rFonts w:ascii="Arial Narrow" w:hAnsi="Arial Narrow" w:cs="Arial"/>
                <w:b/>
                <w:bCs/>
                <w:spacing w:val="0"/>
                <w:sz w:val="16"/>
                <w:szCs w:val="16"/>
                <w:lang w:eastAsia="sq-AL"/>
              </w:rPr>
            </w:pPr>
            <w:r w:rsidRPr="00976B5F">
              <w:rPr>
                <w:rFonts w:ascii="Arial Narrow" w:hAnsi="Arial Narrow" w:cs="Arial"/>
                <w:b/>
                <w:bCs/>
                <w:spacing w:val="0"/>
                <w:sz w:val="16"/>
                <w:szCs w:val="16"/>
                <w:lang w:eastAsia="sq-AL"/>
              </w:rPr>
              <w:t>Retail trade</w:t>
            </w:r>
          </w:p>
        </w:tc>
        <w:tc>
          <w:tcPr>
            <w:tcW w:w="0" w:type="auto"/>
            <w:tcBorders>
              <w:left w:val="nil"/>
              <w:bottom w:val="single" w:sz="8" w:space="0" w:color="CF7B79"/>
              <w:right w:val="nil"/>
            </w:tcBorders>
            <w:shd w:val="clear" w:color="000000" w:fill="EFD3D2"/>
            <w:noWrap/>
            <w:hideMark/>
          </w:tcPr>
          <w:p w14:paraId="70480E3E" w14:textId="77777777" w:rsidR="0008516C" w:rsidRPr="00976B5F" w:rsidRDefault="0064159B"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w:t>
            </w:r>
            <w:r w:rsidR="0008516C" w:rsidRPr="00976B5F">
              <w:rPr>
                <w:rFonts w:ascii="Arial Narrow" w:hAnsi="Arial Narrow" w:cs="Arial"/>
                <w:b/>
                <w:bCs/>
                <w:color w:val="000000"/>
                <w:spacing w:val="0"/>
                <w:sz w:val="16"/>
                <w:szCs w:val="16"/>
              </w:rPr>
              <w:t>.8</w:t>
            </w:r>
          </w:p>
        </w:tc>
        <w:tc>
          <w:tcPr>
            <w:tcW w:w="0" w:type="auto"/>
            <w:tcBorders>
              <w:left w:val="nil"/>
              <w:bottom w:val="single" w:sz="8" w:space="0" w:color="CF7B79"/>
              <w:right w:val="nil"/>
            </w:tcBorders>
            <w:shd w:val="clear" w:color="000000" w:fill="EFD3D2"/>
            <w:noWrap/>
          </w:tcPr>
          <w:p w14:paraId="17576047" w14:textId="77777777" w:rsidR="0008516C" w:rsidRPr="00976B5F" w:rsidRDefault="0008516C"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w:t>
            </w:r>
            <w:r w:rsidR="0064159B" w:rsidRPr="00976B5F">
              <w:rPr>
                <w:rFonts w:ascii="Arial Narrow" w:hAnsi="Arial Narrow" w:cs="Arial"/>
                <w:b/>
                <w:bCs/>
                <w:color w:val="000000"/>
                <w:spacing w:val="0"/>
                <w:sz w:val="16"/>
                <w:szCs w:val="16"/>
              </w:rPr>
              <w:t>2</w:t>
            </w:r>
          </w:p>
        </w:tc>
        <w:tc>
          <w:tcPr>
            <w:tcW w:w="0" w:type="auto"/>
            <w:tcBorders>
              <w:left w:val="nil"/>
              <w:bottom w:val="single" w:sz="8" w:space="0" w:color="CF7B79"/>
              <w:right w:val="nil"/>
            </w:tcBorders>
            <w:shd w:val="clear" w:color="000000" w:fill="EFD3D2"/>
            <w:noWrap/>
          </w:tcPr>
          <w:p w14:paraId="0E155219" w14:textId="77777777" w:rsidR="0008516C" w:rsidRPr="00976B5F" w:rsidRDefault="0064159B"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4.5</w:t>
            </w:r>
          </w:p>
        </w:tc>
        <w:tc>
          <w:tcPr>
            <w:tcW w:w="0" w:type="auto"/>
            <w:tcBorders>
              <w:left w:val="nil"/>
              <w:bottom w:val="single" w:sz="8" w:space="0" w:color="CF7B79"/>
              <w:right w:val="nil"/>
            </w:tcBorders>
            <w:shd w:val="clear" w:color="000000" w:fill="EFD3D2"/>
            <w:noWrap/>
          </w:tcPr>
          <w:p w14:paraId="62FB3570" w14:textId="77777777" w:rsidR="0008516C" w:rsidRPr="00976B5F" w:rsidRDefault="0008516C"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4.</w:t>
            </w:r>
            <w:r w:rsidR="001C0857" w:rsidRPr="00976B5F">
              <w:rPr>
                <w:rFonts w:ascii="Arial Narrow" w:hAnsi="Arial Narrow" w:cs="Arial"/>
                <w:b/>
                <w:bCs/>
                <w:color w:val="000000"/>
                <w:spacing w:val="0"/>
                <w:sz w:val="16"/>
                <w:szCs w:val="16"/>
              </w:rPr>
              <w:t>9</w:t>
            </w:r>
          </w:p>
        </w:tc>
        <w:tc>
          <w:tcPr>
            <w:tcW w:w="0" w:type="auto"/>
            <w:tcBorders>
              <w:left w:val="nil"/>
              <w:bottom w:val="single" w:sz="8" w:space="0" w:color="CF7B79"/>
              <w:right w:val="single" w:sz="8" w:space="0" w:color="CF7B79"/>
            </w:tcBorders>
            <w:shd w:val="clear" w:color="000000" w:fill="EFD3D2"/>
            <w:noWrap/>
          </w:tcPr>
          <w:p w14:paraId="5A3DF7E8" w14:textId="77777777" w:rsidR="0008516C" w:rsidRPr="00976B5F" w:rsidRDefault="001C0857"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w:t>
            </w:r>
            <w:r w:rsidR="002079EA" w:rsidRPr="00976B5F">
              <w:rPr>
                <w:rFonts w:ascii="Arial Narrow" w:hAnsi="Arial Narrow" w:cs="Arial"/>
                <w:b/>
                <w:bCs/>
                <w:color w:val="000000"/>
                <w:spacing w:val="0"/>
                <w:sz w:val="16"/>
                <w:szCs w:val="16"/>
              </w:rPr>
              <w:t>.9</w:t>
            </w:r>
          </w:p>
        </w:tc>
      </w:tr>
      <w:tr w:rsidR="0064668E" w:rsidRPr="00976B5F" w14:paraId="1204D6FC" w14:textId="77777777" w:rsidTr="00D166A0">
        <w:trPr>
          <w:trHeight w:val="331"/>
        </w:trPr>
        <w:tc>
          <w:tcPr>
            <w:tcW w:w="1132" w:type="dxa"/>
            <w:gridSpan w:val="2"/>
            <w:tcBorders>
              <w:top w:val="nil"/>
              <w:left w:val="single" w:sz="8" w:space="0" w:color="CF7B79"/>
              <w:bottom w:val="single" w:sz="8" w:space="0" w:color="CF7B79"/>
              <w:right w:val="nil"/>
            </w:tcBorders>
            <w:shd w:val="clear" w:color="000000" w:fill="EFD3D2"/>
            <w:noWrap/>
            <w:vAlign w:val="center"/>
            <w:hideMark/>
          </w:tcPr>
          <w:p w14:paraId="70F05F21" w14:textId="77777777" w:rsidR="0008516C" w:rsidRPr="00976B5F" w:rsidRDefault="0008516C" w:rsidP="00976B5F">
            <w:pPr>
              <w:rPr>
                <w:rFonts w:ascii="Arial Narrow" w:hAnsi="Arial Narrow" w:cs="Arial"/>
                <w:b/>
                <w:bCs/>
                <w:color w:val="000000"/>
                <w:spacing w:val="0"/>
                <w:sz w:val="16"/>
                <w:szCs w:val="16"/>
                <w:lang w:eastAsia="sq-AL"/>
              </w:rPr>
            </w:pPr>
            <w:r w:rsidRPr="00976B5F">
              <w:rPr>
                <w:rFonts w:ascii="Arial Narrow" w:hAnsi="Arial Narrow" w:cs="Arial"/>
                <w:b/>
                <w:bCs/>
                <w:color w:val="000000"/>
                <w:spacing w:val="0"/>
                <w:sz w:val="16"/>
                <w:szCs w:val="16"/>
                <w:lang w:eastAsia="sq-AL"/>
              </w:rPr>
              <w:t>47ex473</w:t>
            </w:r>
          </w:p>
        </w:tc>
        <w:tc>
          <w:tcPr>
            <w:tcW w:w="3904" w:type="dxa"/>
            <w:tcBorders>
              <w:top w:val="nil"/>
              <w:left w:val="nil"/>
              <w:bottom w:val="single" w:sz="8" w:space="0" w:color="CF7B79"/>
              <w:right w:val="nil"/>
            </w:tcBorders>
            <w:shd w:val="clear" w:color="000000" w:fill="EFD3D2"/>
            <w:vAlign w:val="center"/>
            <w:hideMark/>
          </w:tcPr>
          <w:p w14:paraId="507E5C63" w14:textId="77777777" w:rsidR="0008516C" w:rsidRPr="00976B5F" w:rsidRDefault="0008516C" w:rsidP="0008516C">
            <w:pPr>
              <w:rPr>
                <w:rFonts w:ascii="Arial Narrow" w:hAnsi="Arial Narrow" w:cs="Arial"/>
                <w:b/>
                <w:bCs/>
                <w:spacing w:val="0"/>
                <w:sz w:val="16"/>
                <w:szCs w:val="16"/>
                <w:lang w:eastAsia="sq-AL"/>
              </w:rPr>
            </w:pPr>
            <w:r w:rsidRPr="00976B5F">
              <w:rPr>
                <w:rFonts w:ascii="Arial Narrow" w:hAnsi="Arial Narrow" w:cs="Arial"/>
                <w:b/>
                <w:bCs/>
                <w:spacing w:val="0"/>
                <w:sz w:val="16"/>
                <w:szCs w:val="16"/>
                <w:lang w:eastAsia="sq-AL"/>
              </w:rPr>
              <w:t>Retail trade. except r</w:t>
            </w:r>
            <w:r w:rsidRPr="00976B5F">
              <w:rPr>
                <w:rFonts w:ascii="Arial Narrow" w:hAnsi="Arial Narrow" w:cs="Arial"/>
                <w:b/>
                <w:spacing w:val="0"/>
                <w:sz w:val="16"/>
                <w:szCs w:val="16"/>
                <w:lang w:eastAsia="sq-AL"/>
              </w:rPr>
              <w:t>etail sale of automotive fuel</w:t>
            </w:r>
          </w:p>
        </w:tc>
        <w:tc>
          <w:tcPr>
            <w:tcW w:w="0" w:type="auto"/>
            <w:tcBorders>
              <w:top w:val="nil"/>
              <w:left w:val="nil"/>
              <w:bottom w:val="single" w:sz="8" w:space="0" w:color="CF7B79"/>
              <w:right w:val="nil"/>
            </w:tcBorders>
            <w:shd w:val="clear" w:color="000000" w:fill="EFD3D2"/>
            <w:noWrap/>
            <w:hideMark/>
          </w:tcPr>
          <w:p w14:paraId="1AAB3548" w14:textId="77777777" w:rsidR="0008516C" w:rsidRPr="00976B5F" w:rsidRDefault="0064159B"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w:t>
            </w:r>
            <w:r w:rsidR="0008516C" w:rsidRPr="00976B5F">
              <w:rPr>
                <w:rFonts w:ascii="Arial Narrow" w:hAnsi="Arial Narrow" w:cs="Arial"/>
                <w:b/>
                <w:bCs/>
                <w:color w:val="000000"/>
                <w:spacing w:val="0"/>
                <w:sz w:val="16"/>
                <w:szCs w:val="16"/>
              </w:rPr>
              <w:t>.</w:t>
            </w:r>
            <w:r w:rsidRPr="00976B5F">
              <w:rPr>
                <w:rFonts w:ascii="Arial Narrow" w:hAnsi="Arial Narrow" w:cs="Arial"/>
                <w:b/>
                <w:bCs/>
                <w:color w:val="000000"/>
                <w:spacing w:val="0"/>
                <w:sz w:val="16"/>
                <w:szCs w:val="16"/>
              </w:rPr>
              <w:t>0</w:t>
            </w:r>
          </w:p>
        </w:tc>
        <w:tc>
          <w:tcPr>
            <w:tcW w:w="0" w:type="auto"/>
            <w:tcBorders>
              <w:top w:val="nil"/>
              <w:left w:val="nil"/>
              <w:bottom w:val="single" w:sz="8" w:space="0" w:color="CF7B79"/>
              <w:right w:val="nil"/>
            </w:tcBorders>
            <w:shd w:val="clear" w:color="000000" w:fill="EFD3D2"/>
            <w:noWrap/>
          </w:tcPr>
          <w:p w14:paraId="3527D38A" w14:textId="77777777" w:rsidR="0008516C" w:rsidRPr="00976B5F" w:rsidRDefault="0064159B"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4.1</w:t>
            </w:r>
          </w:p>
        </w:tc>
        <w:tc>
          <w:tcPr>
            <w:tcW w:w="0" w:type="auto"/>
            <w:tcBorders>
              <w:top w:val="nil"/>
              <w:left w:val="nil"/>
              <w:bottom w:val="single" w:sz="8" w:space="0" w:color="CF7B79"/>
              <w:right w:val="nil"/>
            </w:tcBorders>
            <w:shd w:val="clear" w:color="000000" w:fill="EFD3D2"/>
            <w:noWrap/>
          </w:tcPr>
          <w:p w14:paraId="53EB1A71" w14:textId="77777777" w:rsidR="0008516C" w:rsidRPr="00976B5F" w:rsidRDefault="001C0857"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5.3</w:t>
            </w:r>
          </w:p>
        </w:tc>
        <w:tc>
          <w:tcPr>
            <w:tcW w:w="0" w:type="auto"/>
            <w:tcBorders>
              <w:top w:val="nil"/>
              <w:left w:val="nil"/>
              <w:bottom w:val="single" w:sz="8" w:space="0" w:color="CF7B79"/>
              <w:right w:val="nil"/>
            </w:tcBorders>
            <w:shd w:val="clear" w:color="000000" w:fill="EFD3D2"/>
            <w:noWrap/>
          </w:tcPr>
          <w:p w14:paraId="7D623B90" w14:textId="77777777" w:rsidR="0008516C" w:rsidRPr="00976B5F" w:rsidRDefault="001C0857"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6.0</w:t>
            </w:r>
          </w:p>
        </w:tc>
        <w:tc>
          <w:tcPr>
            <w:tcW w:w="0" w:type="auto"/>
            <w:tcBorders>
              <w:top w:val="nil"/>
              <w:left w:val="nil"/>
              <w:bottom w:val="single" w:sz="8" w:space="0" w:color="CF7B79"/>
              <w:right w:val="single" w:sz="8" w:space="0" w:color="CF7B79"/>
            </w:tcBorders>
            <w:shd w:val="clear" w:color="000000" w:fill="EFD3D2"/>
            <w:noWrap/>
          </w:tcPr>
          <w:p w14:paraId="3C93ED56" w14:textId="77777777" w:rsidR="0008516C" w:rsidRPr="00976B5F" w:rsidRDefault="002079EA"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6.</w:t>
            </w:r>
            <w:r w:rsidR="001C0857" w:rsidRPr="00976B5F">
              <w:rPr>
                <w:rFonts w:ascii="Arial Narrow" w:hAnsi="Arial Narrow" w:cs="Arial"/>
                <w:b/>
                <w:bCs/>
                <w:color w:val="000000"/>
                <w:spacing w:val="0"/>
                <w:sz w:val="16"/>
                <w:szCs w:val="16"/>
              </w:rPr>
              <w:t>2</w:t>
            </w:r>
          </w:p>
        </w:tc>
      </w:tr>
      <w:tr w:rsidR="0064668E" w:rsidRPr="00976B5F" w14:paraId="745EE534" w14:textId="77777777" w:rsidTr="00D166A0">
        <w:trPr>
          <w:trHeight w:val="331"/>
        </w:trPr>
        <w:tc>
          <w:tcPr>
            <w:tcW w:w="1132" w:type="dxa"/>
            <w:gridSpan w:val="2"/>
            <w:tcBorders>
              <w:top w:val="nil"/>
              <w:left w:val="single" w:sz="8" w:space="0" w:color="CF7B79"/>
              <w:bottom w:val="single" w:sz="8" w:space="0" w:color="CF7B79"/>
              <w:right w:val="nil"/>
            </w:tcBorders>
            <w:shd w:val="clear" w:color="auto" w:fill="auto"/>
            <w:noWrap/>
            <w:vAlign w:val="center"/>
            <w:hideMark/>
          </w:tcPr>
          <w:p w14:paraId="5EB833BF" w14:textId="77777777" w:rsidR="0008516C" w:rsidRPr="00976B5F" w:rsidRDefault="0008516C" w:rsidP="00976B5F">
            <w:pPr>
              <w:rPr>
                <w:rFonts w:ascii="Arial Narrow" w:hAnsi="Arial Narrow" w:cs="Arial"/>
                <w:color w:val="000000"/>
                <w:spacing w:val="0"/>
                <w:sz w:val="16"/>
                <w:szCs w:val="16"/>
                <w:lang w:eastAsia="sq-AL"/>
              </w:rPr>
            </w:pPr>
            <w:r w:rsidRPr="00976B5F">
              <w:rPr>
                <w:rFonts w:ascii="Arial Narrow" w:hAnsi="Arial Narrow" w:cs="Arial"/>
                <w:color w:val="000000"/>
                <w:spacing w:val="0"/>
                <w:sz w:val="16"/>
                <w:szCs w:val="16"/>
                <w:lang w:eastAsia="sq-AL"/>
              </w:rPr>
              <w:t>4711; 472</w:t>
            </w:r>
          </w:p>
        </w:tc>
        <w:tc>
          <w:tcPr>
            <w:tcW w:w="3904" w:type="dxa"/>
            <w:tcBorders>
              <w:top w:val="nil"/>
              <w:left w:val="nil"/>
              <w:bottom w:val="single" w:sz="8" w:space="0" w:color="CF7B79"/>
              <w:right w:val="nil"/>
            </w:tcBorders>
            <w:shd w:val="clear" w:color="auto" w:fill="auto"/>
            <w:hideMark/>
          </w:tcPr>
          <w:p w14:paraId="5BA61B0C" w14:textId="77777777" w:rsidR="0008516C" w:rsidRPr="00976B5F" w:rsidRDefault="0008516C" w:rsidP="0008516C">
            <w:pPr>
              <w:autoSpaceDE w:val="0"/>
              <w:autoSpaceDN w:val="0"/>
              <w:adjustRightInd w:val="0"/>
              <w:rPr>
                <w:rFonts w:ascii="Arial Narrow" w:hAnsi="Arial Narrow" w:cs="Arial"/>
                <w:spacing w:val="0"/>
                <w:sz w:val="16"/>
                <w:szCs w:val="16"/>
                <w:lang w:eastAsia="sq-AL"/>
              </w:rPr>
            </w:pPr>
            <w:r w:rsidRPr="00976B5F">
              <w:rPr>
                <w:rFonts w:ascii="Arial Narrow" w:hAnsi="Arial Narrow" w:cs="Arial"/>
                <w:spacing w:val="0"/>
                <w:sz w:val="16"/>
                <w:szCs w:val="16"/>
                <w:lang w:eastAsia="sq-AL"/>
              </w:rPr>
              <w:t xml:space="preserve">Food. beverages and tobacco in both specialized and </w:t>
            </w:r>
            <w:r w:rsidR="00976B5F" w:rsidRPr="00976B5F">
              <w:rPr>
                <w:rFonts w:ascii="Arial Narrow" w:hAnsi="Arial Narrow" w:cs="Arial"/>
                <w:spacing w:val="0"/>
                <w:sz w:val="16"/>
                <w:szCs w:val="16"/>
                <w:lang w:eastAsia="sq-AL"/>
              </w:rPr>
              <w:t>non-specialized</w:t>
            </w:r>
            <w:r w:rsidRPr="00976B5F">
              <w:rPr>
                <w:rFonts w:ascii="Arial Narrow" w:hAnsi="Arial Narrow" w:cs="Arial"/>
                <w:spacing w:val="0"/>
                <w:sz w:val="16"/>
                <w:szCs w:val="16"/>
                <w:lang w:eastAsia="sq-AL"/>
              </w:rPr>
              <w:t xml:space="preserve"> stores</w:t>
            </w:r>
          </w:p>
        </w:tc>
        <w:tc>
          <w:tcPr>
            <w:tcW w:w="0" w:type="auto"/>
            <w:tcBorders>
              <w:top w:val="nil"/>
              <w:left w:val="nil"/>
              <w:bottom w:val="single" w:sz="8" w:space="0" w:color="CF7B79"/>
              <w:right w:val="nil"/>
            </w:tcBorders>
            <w:shd w:val="clear" w:color="auto" w:fill="auto"/>
            <w:noWrap/>
            <w:hideMark/>
          </w:tcPr>
          <w:p w14:paraId="0E689472" w14:textId="77777777" w:rsidR="0008516C" w:rsidRPr="00976B5F" w:rsidRDefault="0008516C"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3.</w:t>
            </w:r>
            <w:r w:rsidR="0064159B" w:rsidRPr="00976B5F">
              <w:rPr>
                <w:rFonts w:ascii="Arial Narrow" w:hAnsi="Arial Narrow" w:cs="Arial"/>
                <w:b/>
                <w:bCs/>
                <w:color w:val="000000"/>
                <w:spacing w:val="0"/>
                <w:sz w:val="16"/>
                <w:szCs w:val="16"/>
              </w:rPr>
              <w:t>9</w:t>
            </w:r>
          </w:p>
        </w:tc>
        <w:tc>
          <w:tcPr>
            <w:tcW w:w="0" w:type="auto"/>
            <w:tcBorders>
              <w:top w:val="nil"/>
              <w:left w:val="nil"/>
              <w:bottom w:val="single" w:sz="8" w:space="0" w:color="CF7B79"/>
              <w:right w:val="nil"/>
            </w:tcBorders>
            <w:shd w:val="clear" w:color="auto" w:fill="auto"/>
            <w:noWrap/>
          </w:tcPr>
          <w:p w14:paraId="5D13A145" w14:textId="77777777" w:rsidR="0008516C" w:rsidRPr="00976B5F" w:rsidRDefault="0064159B"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4.3</w:t>
            </w:r>
          </w:p>
        </w:tc>
        <w:tc>
          <w:tcPr>
            <w:tcW w:w="0" w:type="auto"/>
            <w:tcBorders>
              <w:top w:val="nil"/>
              <w:left w:val="nil"/>
              <w:bottom w:val="single" w:sz="8" w:space="0" w:color="CF7B79"/>
              <w:right w:val="nil"/>
            </w:tcBorders>
            <w:shd w:val="clear" w:color="auto" w:fill="auto"/>
            <w:noWrap/>
          </w:tcPr>
          <w:p w14:paraId="551EB553" w14:textId="77777777" w:rsidR="0008516C" w:rsidRPr="00976B5F" w:rsidRDefault="001C0857"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5.1</w:t>
            </w:r>
          </w:p>
        </w:tc>
        <w:tc>
          <w:tcPr>
            <w:tcW w:w="0" w:type="auto"/>
            <w:tcBorders>
              <w:top w:val="nil"/>
              <w:left w:val="nil"/>
              <w:bottom w:val="single" w:sz="8" w:space="0" w:color="CF7B79"/>
              <w:right w:val="nil"/>
            </w:tcBorders>
            <w:shd w:val="clear" w:color="auto" w:fill="auto"/>
            <w:noWrap/>
          </w:tcPr>
          <w:p w14:paraId="161F0227" w14:textId="77777777" w:rsidR="0008516C" w:rsidRPr="00976B5F" w:rsidRDefault="0008516C"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w:t>
            </w:r>
            <w:r w:rsidR="001C0857" w:rsidRPr="00976B5F">
              <w:rPr>
                <w:rFonts w:ascii="Arial Narrow" w:hAnsi="Arial Narrow" w:cs="Arial"/>
                <w:b/>
                <w:bCs/>
                <w:color w:val="000000"/>
                <w:spacing w:val="0"/>
                <w:sz w:val="16"/>
                <w:szCs w:val="16"/>
              </w:rPr>
              <w:t>3</w:t>
            </w:r>
          </w:p>
        </w:tc>
        <w:tc>
          <w:tcPr>
            <w:tcW w:w="0" w:type="auto"/>
            <w:tcBorders>
              <w:top w:val="nil"/>
              <w:left w:val="nil"/>
              <w:bottom w:val="single" w:sz="8" w:space="0" w:color="CF7B79"/>
              <w:right w:val="single" w:sz="8" w:space="0" w:color="CF7B79"/>
            </w:tcBorders>
            <w:shd w:val="clear" w:color="auto" w:fill="auto"/>
            <w:noWrap/>
          </w:tcPr>
          <w:p w14:paraId="3EA25335" w14:textId="77777777" w:rsidR="0008516C" w:rsidRPr="00976B5F" w:rsidRDefault="002079EA"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w:t>
            </w:r>
            <w:r w:rsidR="001C0857" w:rsidRPr="00976B5F">
              <w:rPr>
                <w:rFonts w:ascii="Arial Narrow" w:hAnsi="Arial Narrow" w:cs="Arial"/>
                <w:b/>
                <w:bCs/>
                <w:color w:val="000000"/>
                <w:spacing w:val="0"/>
                <w:sz w:val="16"/>
                <w:szCs w:val="16"/>
              </w:rPr>
              <w:t>6</w:t>
            </w:r>
          </w:p>
        </w:tc>
      </w:tr>
      <w:tr w:rsidR="0064668E" w:rsidRPr="00976B5F" w14:paraId="2C82A395" w14:textId="77777777" w:rsidTr="00D166A0">
        <w:trPr>
          <w:trHeight w:val="215"/>
        </w:trPr>
        <w:tc>
          <w:tcPr>
            <w:tcW w:w="1132" w:type="dxa"/>
            <w:gridSpan w:val="2"/>
            <w:tcBorders>
              <w:top w:val="nil"/>
              <w:left w:val="single" w:sz="8" w:space="0" w:color="CF7B79"/>
              <w:bottom w:val="single" w:sz="8" w:space="0" w:color="CF7B79"/>
              <w:right w:val="nil"/>
            </w:tcBorders>
            <w:shd w:val="clear" w:color="auto" w:fill="auto"/>
            <w:noWrap/>
            <w:vAlign w:val="center"/>
            <w:hideMark/>
          </w:tcPr>
          <w:p w14:paraId="778BEAA2" w14:textId="77777777" w:rsidR="0008516C" w:rsidRPr="00976B5F" w:rsidRDefault="0008516C" w:rsidP="00976B5F">
            <w:pPr>
              <w:rPr>
                <w:rFonts w:ascii="Arial Narrow" w:hAnsi="Arial Narrow" w:cs="Arial"/>
                <w:color w:val="000000"/>
                <w:spacing w:val="0"/>
                <w:sz w:val="16"/>
                <w:szCs w:val="16"/>
                <w:lang w:eastAsia="sq-AL"/>
              </w:rPr>
            </w:pPr>
            <w:r w:rsidRPr="00976B5F">
              <w:rPr>
                <w:rFonts w:ascii="Arial Narrow" w:hAnsi="Arial Narrow" w:cs="Arial"/>
                <w:color w:val="000000"/>
                <w:spacing w:val="0"/>
                <w:sz w:val="16"/>
                <w:szCs w:val="16"/>
                <w:lang w:eastAsia="sq-AL"/>
              </w:rPr>
              <w:t>4719; 474-4778</w:t>
            </w:r>
          </w:p>
        </w:tc>
        <w:tc>
          <w:tcPr>
            <w:tcW w:w="3904" w:type="dxa"/>
            <w:tcBorders>
              <w:top w:val="nil"/>
              <w:left w:val="nil"/>
              <w:bottom w:val="single" w:sz="8" w:space="0" w:color="CF7B79"/>
              <w:right w:val="nil"/>
            </w:tcBorders>
            <w:shd w:val="clear" w:color="auto" w:fill="auto"/>
            <w:hideMark/>
          </w:tcPr>
          <w:p w14:paraId="4DB534AC" w14:textId="77777777" w:rsidR="0008516C" w:rsidRPr="00976B5F" w:rsidRDefault="0008516C" w:rsidP="0008516C">
            <w:pPr>
              <w:autoSpaceDE w:val="0"/>
              <w:autoSpaceDN w:val="0"/>
              <w:adjustRightInd w:val="0"/>
              <w:rPr>
                <w:rFonts w:ascii="Arial Narrow" w:hAnsi="Arial Narrow" w:cs="Arial"/>
                <w:spacing w:val="0"/>
                <w:sz w:val="16"/>
                <w:szCs w:val="16"/>
                <w:lang w:eastAsia="sq-AL"/>
              </w:rPr>
            </w:pPr>
            <w:r w:rsidRPr="00976B5F">
              <w:rPr>
                <w:rFonts w:ascii="Arial Narrow" w:hAnsi="Arial Narrow" w:cs="Arial"/>
                <w:spacing w:val="0"/>
                <w:sz w:val="16"/>
                <w:szCs w:val="16"/>
                <w:lang w:eastAsia="sq-AL"/>
              </w:rPr>
              <w:t xml:space="preserve">Non-food Products in specialized and </w:t>
            </w:r>
            <w:r w:rsidR="00976B5F" w:rsidRPr="00976B5F">
              <w:rPr>
                <w:rFonts w:ascii="Arial Narrow" w:hAnsi="Arial Narrow" w:cs="Arial"/>
                <w:spacing w:val="0"/>
                <w:sz w:val="16"/>
                <w:szCs w:val="16"/>
                <w:lang w:eastAsia="sq-AL"/>
              </w:rPr>
              <w:t>non-specialized</w:t>
            </w:r>
            <w:r w:rsidRPr="00976B5F">
              <w:rPr>
                <w:rFonts w:ascii="Arial Narrow" w:hAnsi="Arial Narrow" w:cs="Arial"/>
                <w:spacing w:val="0"/>
                <w:sz w:val="16"/>
                <w:szCs w:val="16"/>
                <w:lang w:eastAsia="sq-AL"/>
              </w:rPr>
              <w:t xml:space="preserve"> stores</w:t>
            </w:r>
          </w:p>
        </w:tc>
        <w:tc>
          <w:tcPr>
            <w:tcW w:w="0" w:type="auto"/>
            <w:tcBorders>
              <w:top w:val="nil"/>
              <w:left w:val="nil"/>
              <w:bottom w:val="single" w:sz="8" w:space="0" w:color="CF7B79"/>
              <w:right w:val="nil"/>
            </w:tcBorders>
            <w:shd w:val="clear" w:color="auto" w:fill="auto"/>
            <w:noWrap/>
            <w:hideMark/>
          </w:tcPr>
          <w:p w14:paraId="3BB29303" w14:textId="77777777" w:rsidR="0008516C" w:rsidRPr="00976B5F" w:rsidRDefault="0008516C"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w:t>
            </w:r>
            <w:r w:rsidR="0064159B" w:rsidRPr="00976B5F">
              <w:rPr>
                <w:rFonts w:ascii="Arial Narrow" w:hAnsi="Arial Narrow" w:cs="Arial"/>
                <w:b/>
                <w:bCs/>
                <w:color w:val="000000"/>
                <w:spacing w:val="0"/>
                <w:sz w:val="16"/>
                <w:szCs w:val="16"/>
              </w:rPr>
              <w:t>8</w:t>
            </w:r>
          </w:p>
        </w:tc>
        <w:tc>
          <w:tcPr>
            <w:tcW w:w="0" w:type="auto"/>
            <w:tcBorders>
              <w:top w:val="nil"/>
              <w:left w:val="nil"/>
              <w:bottom w:val="single" w:sz="8" w:space="0" w:color="CF7B79"/>
              <w:right w:val="nil"/>
            </w:tcBorders>
            <w:shd w:val="clear" w:color="auto" w:fill="auto"/>
            <w:noWrap/>
          </w:tcPr>
          <w:p w14:paraId="4CBE9C7A" w14:textId="77777777" w:rsidR="0008516C" w:rsidRPr="00976B5F" w:rsidRDefault="0064159B"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3</w:t>
            </w:r>
            <w:r w:rsidR="0008516C" w:rsidRPr="00976B5F">
              <w:rPr>
                <w:rFonts w:ascii="Arial Narrow" w:hAnsi="Arial Narrow" w:cs="Arial"/>
                <w:b/>
                <w:bCs/>
                <w:color w:val="000000"/>
                <w:spacing w:val="0"/>
                <w:sz w:val="16"/>
                <w:szCs w:val="16"/>
              </w:rPr>
              <w:t>.8</w:t>
            </w:r>
          </w:p>
        </w:tc>
        <w:tc>
          <w:tcPr>
            <w:tcW w:w="0" w:type="auto"/>
            <w:tcBorders>
              <w:top w:val="nil"/>
              <w:left w:val="nil"/>
              <w:bottom w:val="single" w:sz="8" w:space="0" w:color="CF7B79"/>
              <w:right w:val="nil"/>
            </w:tcBorders>
            <w:shd w:val="clear" w:color="auto" w:fill="auto"/>
            <w:noWrap/>
          </w:tcPr>
          <w:p w14:paraId="4785CB9D" w14:textId="77777777" w:rsidR="0008516C" w:rsidRPr="00976B5F" w:rsidRDefault="001C0857"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5.6</w:t>
            </w:r>
          </w:p>
        </w:tc>
        <w:tc>
          <w:tcPr>
            <w:tcW w:w="0" w:type="auto"/>
            <w:tcBorders>
              <w:top w:val="nil"/>
              <w:left w:val="nil"/>
              <w:bottom w:val="single" w:sz="8" w:space="0" w:color="CF7B79"/>
              <w:right w:val="nil"/>
            </w:tcBorders>
            <w:shd w:val="clear" w:color="auto" w:fill="auto"/>
            <w:noWrap/>
          </w:tcPr>
          <w:p w14:paraId="72E110F6" w14:textId="77777777" w:rsidR="0008516C" w:rsidRPr="00976B5F" w:rsidRDefault="001C0857"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6.7</w:t>
            </w:r>
          </w:p>
        </w:tc>
        <w:tc>
          <w:tcPr>
            <w:tcW w:w="0" w:type="auto"/>
            <w:tcBorders>
              <w:top w:val="nil"/>
              <w:left w:val="nil"/>
              <w:bottom w:val="single" w:sz="8" w:space="0" w:color="CF7B79"/>
              <w:right w:val="single" w:sz="8" w:space="0" w:color="CF7B79"/>
            </w:tcBorders>
            <w:shd w:val="clear" w:color="auto" w:fill="auto"/>
            <w:noWrap/>
          </w:tcPr>
          <w:p w14:paraId="3F549FC8" w14:textId="77777777" w:rsidR="0008516C" w:rsidRPr="00976B5F" w:rsidRDefault="002604EA"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6.</w:t>
            </w:r>
            <w:r w:rsidR="001C0857" w:rsidRPr="00976B5F">
              <w:rPr>
                <w:rFonts w:ascii="Arial Narrow" w:hAnsi="Arial Narrow" w:cs="Arial"/>
                <w:b/>
                <w:bCs/>
                <w:color w:val="000000"/>
                <w:spacing w:val="0"/>
                <w:sz w:val="16"/>
                <w:szCs w:val="16"/>
              </w:rPr>
              <w:t>8</w:t>
            </w:r>
          </w:p>
        </w:tc>
      </w:tr>
      <w:tr w:rsidR="0064668E" w:rsidRPr="00976B5F" w14:paraId="58B09328" w14:textId="77777777" w:rsidTr="00D166A0">
        <w:trPr>
          <w:trHeight w:val="215"/>
        </w:trPr>
        <w:tc>
          <w:tcPr>
            <w:tcW w:w="1132" w:type="dxa"/>
            <w:gridSpan w:val="2"/>
            <w:tcBorders>
              <w:top w:val="nil"/>
              <w:left w:val="single" w:sz="8" w:space="0" w:color="CF7B79"/>
              <w:bottom w:val="single" w:sz="8" w:space="0" w:color="CF7B79"/>
              <w:right w:val="nil"/>
            </w:tcBorders>
            <w:shd w:val="clear" w:color="000000" w:fill="F2DDDC"/>
            <w:noWrap/>
            <w:vAlign w:val="center"/>
            <w:hideMark/>
          </w:tcPr>
          <w:p w14:paraId="2ACA627F" w14:textId="77777777" w:rsidR="0008516C" w:rsidRPr="00976B5F" w:rsidRDefault="0008516C" w:rsidP="00976B5F">
            <w:pPr>
              <w:rPr>
                <w:rFonts w:ascii="Arial Narrow" w:hAnsi="Arial Narrow" w:cs="Arial"/>
                <w:b/>
                <w:bCs/>
                <w:color w:val="000000"/>
                <w:spacing w:val="0"/>
                <w:sz w:val="16"/>
                <w:szCs w:val="16"/>
                <w:lang w:eastAsia="sq-AL"/>
              </w:rPr>
            </w:pPr>
            <w:r w:rsidRPr="00976B5F">
              <w:rPr>
                <w:rFonts w:ascii="Arial Narrow" w:hAnsi="Arial Narrow" w:cs="Arial"/>
                <w:b/>
                <w:bCs/>
                <w:color w:val="000000"/>
                <w:spacing w:val="0"/>
                <w:sz w:val="16"/>
                <w:szCs w:val="16"/>
                <w:lang w:eastAsia="sq-AL"/>
              </w:rPr>
              <w:t>473</w:t>
            </w:r>
          </w:p>
        </w:tc>
        <w:tc>
          <w:tcPr>
            <w:tcW w:w="3904" w:type="dxa"/>
            <w:tcBorders>
              <w:top w:val="nil"/>
              <w:left w:val="nil"/>
              <w:bottom w:val="single" w:sz="8" w:space="0" w:color="CF7B79"/>
              <w:right w:val="nil"/>
            </w:tcBorders>
            <w:shd w:val="clear" w:color="000000" w:fill="F2DDDC"/>
            <w:vAlign w:val="center"/>
            <w:hideMark/>
          </w:tcPr>
          <w:p w14:paraId="31317409" w14:textId="77777777" w:rsidR="0008516C" w:rsidRPr="00976B5F" w:rsidRDefault="0008516C" w:rsidP="0008516C">
            <w:pPr>
              <w:rPr>
                <w:rFonts w:ascii="Arial Narrow" w:hAnsi="Arial Narrow" w:cs="Arial"/>
                <w:b/>
                <w:bCs/>
                <w:spacing w:val="0"/>
                <w:sz w:val="16"/>
                <w:szCs w:val="16"/>
                <w:lang w:eastAsia="sq-AL"/>
              </w:rPr>
            </w:pPr>
            <w:r w:rsidRPr="00976B5F">
              <w:rPr>
                <w:rFonts w:ascii="Arial Narrow" w:hAnsi="Arial Narrow" w:cs="Arial"/>
                <w:b/>
                <w:spacing w:val="0"/>
                <w:sz w:val="16"/>
                <w:szCs w:val="16"/>
                <w:lang w:eastAsia="sq-AL"/>
              </w:rPr>
              <w:t xml:space="preserve">Retail sale of </w:t>
            </w:r>
            <w:r w:rsidR="00976B5F" w:rsidRPr="00976B5F">
              <w:rPr>
                <w:rFonts w:ascii="Arial Narrow" w:hAnsi="Arial Narrow" w:cs="Arial"/>
                <w:b/>
                <w:spacing w:val="0"/>
                <w:sz w:val="16"/>
                <w:szCs w:val="16"/>
                <w:lang w:eastAsia="sq-AL"/>
              </w:rPr>
              <w:t>motor fuel</w:t>
            </w:r>
            <w:r w:rsidRPr="00976B5F">
              <w:rPr>
                <w:rFonts w:ascii="Arial Narrow" w:hAnsi="Arial Narrow" w:cs="Arial"/>
                <w:b/>
                <w:spacing w:val="0"/>
                <w:sz w:val="16"/>
                <w:szCs w:val="16"/>
                <w:lang w:eastAsia="sq-AL"/>
              </w:rPr>
              <w:t xml:space="preserve">  </w:t>
            </w:r>
          </w:p>
        </w:tc>
        <w:tc>
          <w:tcPr>
            <w:tcW w:w="0" w:type="auto"/>
            <w:tcBorders>
              <w:top w:val="nil"/>
              <w:left w:val="nil"/>
              <w:bottom w:val="single" w:sz="8" w:space="0" w:color="CF7B79"/>
              <w:right w:val="nil"/>
            </w:tcBorders>
            <w:shd w:val="clear" w:color="000000" w:fill="F2DDDC"/>
            <w:noWrap/>
            <w:hideMark/>
          </w:tcPr>
          <w:p w14:paraId="513D4533" w14:textId="77777777" w:rsidR="0008516C" w:rsidRPr="00976B5F" w:rsidRDefault="0064159B"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7.4</w:t>
            </w:r>
          </w:p>
        </w:tc>
        <w:tc>
          <w:tcPr>
            <w:tcW w:w="0" w:type="auto"/>
            <w:tcBorders>
              <w:top w:val="nil"/>
              <w:left w:val="nil"/>
              <w:bottom w:val="single" w:sz="8" w:space="0" w:color="CF7B79"/>
              <w:right w:val="nil"/>
            </w:tcBorders>
            <w:shd w:val="clear" w:color="000000" w:fill="F2DDDC"/>
            <w:noWrap/>
          </w:tcPr>
          <w:p w14:paraId="36949DC1" w14:textId="77777777" w:rsidR="0008516C" w:rsidRPr="00976B5F" w:rsidRDefault="0064159B"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6.6</w:t>
            </w:r>
          </w:p>
        </w:tc>
        <w:tc>
          <w:tcPr>
            <w:tcW w:w="0" w:type="auto"/>
            <w:tcBorders>
              <w:top w:val="nil"/>
              <w:left w:val="nil"/>
              <w:bottom w:val="single" w:sz="8" w:space="0" w:color="CF7B79"/>
              <w:right w:val="nil"/>
            </w:tcBorders>
            <w:shd w:val="clear" w:color="000000" w:fill="F2DDDC"/>
            <w:noWrap/>
          </w:tcPr>
          <w:p w14:paraId="7E74C1FC" w14:textId="77777777" w:rsidR="0008516C" w:rsidRPr="00976B5F" w:rsidRDefault="001C0857"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4.1</w:t>
            </w:r>
          </w:p>
        </w:tc>
        <w:tc>
          <w:tcPr>
            <w:tcW w:w="0" w:type="auto"/>
            <w:tcBorders>
              <w:top w:val="nil"/>
              <w:left w:val="nil"/>
              <w:bottom w:val="single" w:sz="8" w:space="0" w:color="CF7B79"/>
              <w:right w:val="nil"/>
            </w:tcBorders>
            <w:shd w:val="clear" w:color="000000" w:fill="F2DDDC"/>
            <w:noWrap/>
          </w:tcPr>
          <w:p w14:paraId="6042EEAF" w14:textId="77777777" w:rsidR="0008516C" w:rsidRPr="00976B5F" w:rsidRDefault="001C0857"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2.3</w:t>
            </w:r>
          </w:p>
        </w:tc>
        <w:tc>
          <w:tcPr>
            <w:tcW w:w="0" w:type="auto"/>
            <w:tcBorders>
              <w:top w:val="nil"/>
              <w:left w:val="nil"/>
              <w:bottom w:val="single" w:sz="8" w:space="0" w:color="CF7B79"/>
              <w:right w:val="single" w:sz="8" w:space="0" w:color="CF7B79"/>
            </w:tcBorders>
            <w:shd w:val="clear" w:color="000000" w:fill="F2DDDC"/>
            <w:noWrap/>
          </w:tcPr>
          <w:p w14:paraId="02CB9F72" w14:textId="77777777" w:rsidR="0008516C" w:rsidRPr="00976B5F" w:rsidRDefault="001C0857"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5</w:t>
            </w:r>
            <w:r w:rsidR="002604EA" w:rsidRPr="00976B5F">
              <w:rPr>
                <w:rFonts w:ascii="Arial Narrow" w:hAnsi="Arial Narrow" w:cs="Arial"/>
                <w:b/>
                <w:bCs/>
                <w:color w:val="000000"/>
                <w:spacing w:val="0"/>
                <w:sz w:val="16"/>
                <w:szCs w:val="16"/>
              </w:rPr>
              <w:t>.3</w:t>
            </w:r>
          </w:p>
        </w:tc>
      </w:tr>
    </w:tbl>
    <w:p w14:paraId="090A4EF6" w14:textId="77777777" w:rsidR="000036EA" w:rsidRPr="00264ADC" w:rsidRDefault="000036EA" w:rsidP="000036EA">
      <w:pPr>
        <w:spacing w:line="360" w:lineRule="auto"/>
        <w:rPr>
          <w:rFonts w:ascii="Arial Narrow" w:hAnsi="Arial Narrow" w:cstheme="minorHAnsi"/>
          <w:b/>
          <w:color w:val="7F7F7F" w:themeColor="text1" w:themeTint="80"/>
          <w:sz w:val="18"/>
          <w:szCs w:val="18"/>
        </w:rPr>
      </w:pPr>
    </w:p>
    <w:p w14:paraId="6B83ED49" w14:textId="77777777" w:rsidR="00A30BB5" w:rsidRPr="000E079E" w:rsidRDefault="001F2B19" w:rsidP="00DC6D10">
      <w:pPr>
        <w:rPr>
          <w:rFonts w:asciiTheme="majorHAnsi" w:hAnsiTheme="majorHAnsi" w:cstheme="minorHAnsi"/>
          <w:b/>
          <w:color w:val="7F7F7F" w:themeColor="text1" w:themeTint="80"/>
          <w:spacing w:val="-20"/>
          <w:kern w:val="28"/>
          <w:sz w:val="18"/>
          <w:szCs w:val="18"/>
        </w:rPr>
      </w:pPr>
      <w:r>
        <w:rPr>
          <w:rFonts w:asciiTheme="majorHAnsi" w:hAnsiTheme="majorHAnsi" w:cstheme="minorHAnsi"/>
          <w:b/>
          <w:color w:val="7F7F7F" w:themeColor="text1" w:themeTint="80"/>
          <w:spacing w:val="-20"/>
          <w:kern w:val="28"/>
          <w:sz w:val="18"/>
          <w:szCs w:val="18"/>
        </w:rPr>
        <w:t xml:space="preserve">           </w:t>
      </w:r>
      <w:r w:rsidR="00A30BB5" w:rsidRPr="00976B5F">
        <w:rPr>
          <w:rFonts w:asciiTheme="majorHAnsi" w:hAnsiTheme="majorHAnsi" w:cstheme="minorHAnsi"/>
          <w:b/>
          <w:color w:val="7F7F7F" w:themeColor="text1" w:themeTint="80"/>
          <w:spacing w:val="-20"/>
          <w:kern w:val="28"/>
          <w:szCs w:val="18"/>
        </w:rPr>
        <w:t xml:space="preserve">Tab. </w:t>
      </w:r>
      <w:r w:rsidR="003A3572" w:rsidRPr="00976B5F">
        <w:rPr>
          <w:rFonts w:asciiTheme="majorHAnsi" w:hAnsiTheme="majorHAnsi" w:cstheme="minorHAnsi"/>
          <w:b/>
          <w:color w:val="7F7F7F" w:themeColor="text1" w:themeTint="80"/>
          <w:spacing w:val="-20"/>
          <w:kern w:val="28"/>
          <w:szCs w:val="18"/>
        </w:rPr>
        <w:t>2</w:t>
      </w:r>
      <w:r w:rsidR="005D41BD" w:rsidRPr="00976B5F">
        <w:rPr>
          <w:rFonts w:asciiTheme="majorHAnsi" w:hAnsiTheme="majorHAnsi" w:cstheme="minorHAnsi"/>
          <w:b/>
          <w:color w:val="7F7F7F" w:themeColor="text1" w:themeTint="80"/>
          <w:spacing w:val="-20"/>
          <w:kern w:val="28"/>
          <w:szCs w:val="18"/>
        </w:rPr>
        <w:t xml:space="preserve"> Quarterly</w:t>
      </w:r>
      <w:r w:rsidR="009E4884" w:rsidRPr="00976B5F">
        <w:rPr>
          <w:rFonts w:asciiTheme="majorHAnsi" w:hAnsiTheme="majorHAnsi" w:cstheme="minorHAnsi"/>
          <w:b/>
          <w:color w:val="7F7F7F" w:themeColor="text1" w:themeTint="80"/>
          <w:spacing w:val="-20"/>
          <w:kern w:val="28"/>
          <w:szCs w:val="18"/>
        </w:rPr>
        <w:t xml:space="preserve"> turnover </w:t>
      </w:r>
      <w:r w:rsidR="00A30BB5" w:rsidRPr="00976B5F">
        <w:rPr>
          <w:rFonts w:asciiTheme="majorHAnsi" w:hAnsiTheme="majorHAnsi" w:cstheme="minorHAnsi"/>
          <w:b/>
          <w:color w:val="7F7F7F" w:themeColor="text1" w:themeTint="80"/>
          <w:spacing w:val="-20"/>
          <w:kern w:val="28"/>
          <w:szCs w:val="18"/>
        </w:rPr>
        <w:t>change on Retail Trade and Retail Sale of motor fuel seasonally adjusted</w:t>
      </w:r>
    </w:p>
    <w:tbl>
      <w:tblPr>
        <w:tblW w:w="9454" w:type="dxa"/>
        <w:tblInd w:w="558" w:type="dxa"/>
        <w:tblLayout w:type="fixed"/>
        <w:tblLook w:val="04A0" w:firstRow="1" w:lastRow="0" w:firstColumn="1" w:lastColumn="0" w:noHBand="0" w:noVBand="1"/>
      </w:tblPr>
      <w:tblGrid>
        <w:gridCol w:w="1112"/>
        <w:gridCol w:w="3673"/>
        <w:gridCol w:w="373"/>
        <w:gridCol w:w="551"/>
        <w:gridCol w:w="256"/>
        <w:gridCol w:w="668"/>
        <w:gridCol w:w="139"/>
        <w:gridCol w:w="799"/>
        <w:gridCol w:w="48"/>
        <w:gridCol w:w="989"/>
        <w:gridCol w:w="846"/>
      </w:tblGrid>
      <w:tr w:rsidR="00A30BB5" w:rsidRPr="00976B5F" w14:paraId="725EB515" w14:textId="77777777" w:rsidTr="00D166A0">
        <w:trPr>
          <w:trHeight w:val="175"/>
        </w:trPr>
        <w:tc>
          <w:tcPr>
            <w:tcW w:w="1112" w:type="dxa"/>
            <w:tcBorders>
              <w:top w:val="nil"/>
              <w:left w:val="nil"/>
              <w:bottom w:val="single" w:sz="8" w:space="0" w:color="CF7B79"/>
              <w:right w:val="nil"/>
            </w:tcBorders>
            <w:shd w:val="clear" w:color="auto" w:fill="auto"/>
            <w:noWrap/>
            <w:vAlign w:val="bottom"/>
            <w:hideMark/>
          </w:tcPr>
          <w:p w14:paraId="3F32F305" w14:textId="77777777" w:rsidR="00A30BB5" w:rsidRPr="00976B5F" w:rsidRDefault="00A30BB5" w:rsidP="00DC6D10">
            <w:pPr>
              <w:rPr>
                <w:rFonts w:ascii="Arial Narrow" w:hAnsi="Arial Narrow"/>
                <w:color w:val="000000"/>
                <w:spacing w:val="0"/>
                <w:sz w:val="16"/>
                <w:szCs w:val="16"/>
              </w:rPr>
            </w:pPr>
          </w:p>
        </w:tc>
        <w:tc>
          <w:tcPr>
            <w:tcW w:w="4046" w:type="dxa"/>
            <w:gridSpan w:val="2"/>
            <w:tcBorders>
              <w:top w:val="nil"/>
              <w:left w:val="nil"/>
              <w:bottom w:val="single" w:sz="8" w:space="0" w:color="CF7B79"/>
              <w:right w:val="nil"/>
            </w:tcBorders>
            <w:shd w:val="clear" w:color="auto" w:fill="auto"/>
            <w:noWrap/>
            <w:vAlign w:val="bottom"/>
            <w:hideMark/>
          </w:tcPr>
          <w:p w14:paraId="20A1D711" w14:textId="77777777" w:rsidR="00A30BB5" w:rsidRPr="00976B5F" w:rsidRDefault="00A30BB5" w:rsidP="00DC6D10">
            <w:pPr>
              <w:rPr>
                <w:rFonts w:ascii="Arial Narrow" w:hAnsi="Arial Narrow"/>
                <w:color w:val="000000"/>
                <w:spacing w:val="0"/>
                <w:sz w:val="16"/>
                <w:szCs w:val="16"/>
              </w:rPr>
            </w:pPr>
            <w:r w:rsidRPr="00976B5F">
              <w:rPr>
                <w:rFonts w:ascii="Arial Narrow" w:hAnsi="Arial Narrow"/>
                <w:color w:val="000000"/>
                <w:spacing w:val="0"/>
                <w:sz w:val="16"/>
                <w:szCs w:val="16"/>
              </w:rPr>
              <w:t> </w:t>
            </w:r>
          </w:p>
        </w:tc>
        <w:tc>
          <w:tcPr>
            <w:tcW w:w="807" w:type="dxa"/>
            <w:gridSpan w:val="2"/>
            <w:tcBorders>
              <w:top w:val="nil"/>
              <w:left w:val="nil"/>
              <w:bottom w:val="single" w:sz="8" w:space="0" w:color="CF7B79"/>
              <w:right w:val="nil"/>
            </w:tcBorders>
            <w:shd w:val="clear" w:color="auto" w:fill="auto"/>
            <w:hideMark/>
          </w:tcPr>
          <w:p w14:paraId="7BC46F41" w14:textId="77777777" w:rsidR="00A30BB5" w:rsidRPr="00976B5F" w:rsidRDefault="00A30BB5" w:rsidP="00DC6D10">
            <w:pPr>
              <w:rPr>
                <w:rFonts w:ascii="Arial Narrow" w:hAnsi="Arial Narrow"/>
                <w:color w:val="000000"/>
                <w:spacing w:val="0"/>
                <w:sz w:val="16"/>
                <w:szCs w:val="16"/>
              </w:rPr>
            </w:pPr>
          </w:p>
        </w:tc>
        <w:tc>
          <w:tcPr>
            <w:tcW w:w="807" w:type="dxa"/>
            <w:gridSpan w:val="2"/>
            <w:tcBorders>
              <w:top w:val="nil"/>
              <w:left w:val="nil"/>
              <w:bottom w:val="single" w:sz="8" w:space="0" w:color="CF7B79"/>
              <w:right w:val="nil"/>
            </w:tcBorders>
            <w:shd w:val="clear" w:color="auto" w:fill="auto"/>
            <w:noWrap/>
            <w:vAlign w:val="bottom"/>
            <w:hideMark/>
          </w:tcPr>
          <w:p w14:paraId="39ED06C7" w14:textId="77777777" w:rsidR="00A30BB5" w:rsidRPr="00976B5F" w:rsidRDefault="00A30BB5" w:rsidP="00DC6D10">
            <w:pPr>
              <w:rPr>
                <w:rFonts w:ascii="Arial Narrow" w:hAnsi="Arial Narrow"/>
                <w:color w:val="000000"/>
                <w:spacing w:val="0"/>
                <w:sz w:val="16"/>
                <w:szCs w:val="16"/>
              </w:rPr>
            </w:pPr>
          </w:p>
        </w:tc>
        <w:tc>
          <w:tcPr>
            <w:tcW w:w="799" w:type="dxa"/>
            <w:tcBorders>
              <w:top w:val="nil"/>
              <w:left w:val="nil"/>
              <w:bottom w:val="single" w:sz="8" w:space="0" w:color="CF7B79"/>
              <w:right w:val="nil"/>
            </w:tcBorders>
            <w:shd w:val="clear" w:color="auto" w:fill="auto"/>
            <w:noWrap/>
            <w:vAlign w:val="bottom"/>
            <w:hideMark/>
          </w:tcPr>
          <w:p w14:paraId="5529C500" w14:textId="77777777" w:rsidR="00A30BB5" w:rsidRPr="00976B5F" w:rsidRDefault="00A30BB5" w:rsidP="00DC6D10">
            <w:pPr>
              <w:rPr>
                <w:rFonts w:ascii="Arial Narrow" w:hAnsi="Arial Narrow"/>
                <w:color w:val="000000"/>
                <w:spacing w:val="0"/>
                <w:sz w:val="16"/>
                <w:szCs w:val="16"/>
              </w:rPr>
            </w:pPr>
          </w:p>
        </w:tc>
        <w:tc>
          <w:tcPr>
            <w:tcW w:w="1037" w:type="dxa"/>
            <w:gridSpan w:val="2"/>
            <w:tcBorders>
              <w:top w:val="nil"/>
              <w:left w:val="nil"/>
              <w:bottom w:val="single" w:sz="8" w:space="0" w:color="CF7B79"/>
              <w:right w:val="nil"/>
            </w:tcBorders>
            <w:shd w:val="clear" w:color="auto" w:fill="auto"/>
            <w:noWrap/>
            <w:vAlign w:val="bottom"/>
            <w:hideMark/>
          </w:tcPr>
          <w:p w14:paraId="3E77807E" w14:textId="77777777" w:rsidR="00A30BB5" w:rsidRPr="00976B5F" w:rsidRDefault="00A30BB5" w:rsidP="00DC6D10">
            <w:pPr>
              <w:rPr>
                <w:rFonts w:ascii="Arial Narrow" w:hAnsi="Arial Narrow"/>
                <w:color w:val="000000"/>
                <w:spacing w:val="0"/>
                <w:sz w:val="16"/>
                <w:szCs w:val="16"/>
              </w:rPr>
            </w:pPr>
          </w:p>
        </w:tc>
        <w:tc>
          <w:tcPr>
            <w:tcW w:w="846" w:type="dxa"/>
            <w:tcBorders>
              <w:top w:val="nil"/>
              <w:left w:val="nil"/>
              <w:bottom w:val="single" w:sz="8" w:space="0" w:color="CF7B79"/>
              <w:right w:val="nil"/>
            </w:tcBorders>
            <w:shd w:val="clear" w:color="auto" w:fill="auto"/>
            <w:noWrap/>
            <w:vAlign w:val="bottom"/>
            <w:hideMark/>
          </w:tcPr>
          <w:p w14:paraId="09894668" w14:textId="77777777" w:rsidR="00A30BB5" w:rsidRPr="00976B5F" w:rsidRDefault="00A30BB5" w:rsidP="00DC6D10">
            <w:pPr>
              <w:jc w:val="right"/>
              <w:rPr>
                <w:rFonts w:ascii="Arial Narrow" w:hAnsi="Arial Narrow"/>
                <w:color w:val="000000"/>
                <w:spacing w:val="0"/>
                <w:sz w:val="16"/>
                <w:szCs w:val="16"/>
              </w:rPr>
            </w:pPr>
            <w:r w:rsidRPr="00976B5F">
              <w:rPr>
                <w:rFonts w:ascii="Arial Narrow" w:hAnsi="Arial Narrow"/>
                <w:color w:val="000000"/>
                <w:spacing w:val="0"/>
                <w:sz w:val="16"/>
                <w:szCs w:val="16"/>
              </w:rPr>
              <w:t>%</w:t>
            </w:r>
          </w:p>
        </w:tc>
      </w:tr>
      <w:tr w:rsidR="0008516C" w:rsidRPr="00976B5F" w14:paraId="362EE53F" w14:textId="77777777" w:rsidTr="00D166A0">
        <w:trPr>
          <w:trHeight w:val="205"/>
        </w:trPr>
        <w:tc>
          <w:tcPr>
            <w:tcW w:w="1112" w:type="dxa"/>
            <w:tcBorders>
              <w:top w:val="single" w:sz="8" w:space="0" w:color="CF7B79"/>
              <w:left w:val="single" w:sz="8" w:space="0" w:color="CF7B79"/>
              <w:right w:val="nil"/>
            </w:tcBorders>
            <w:shd w:val="clear" w:color="000000" w:fill="C0504D"/>
            <w:noWrap/>
            <w:vAlign w:val="center"/>
            <w:hideMark/>
          </w:tcPr>
          <w:p w14:paraId="3655D466" w14:textId="77777777" w:rsidR="0008516C" w:rsidRPr="00976B5F" w:rsidRDefault="0008516C" w:rsidP="00976B5F">
            <w:pPr>
              <w:rPr>
                <w:rFonts w:ascii="Arial Narrow" w:hAnsi="Arial Narrow"/>
                <w:b/>
                <w:bCs/>
                <w:color w:val="FFFFFF"/>
                <w:spacing w:val="0"/>
                <w:sz w:val="16"/>
                <w:szCs w:val="16"/>
                <w:lang w:eastAsia="sq-AL"/>
              </w:rPr>
            </w:pPr>
            <w:r w:rsidRPr="00976B5F">
              <w:rPr>
                <w:rFonts w:ascii="Arial Narrow" w:hAnsi="Arial Narrow"/>
                <w:b/>
                <w:bCs/>
                <w:color w:val="FFFFFF"/>
                <w:spacing w:val="0"/>
                <w:sz w:val="16"/>
                <w:szCs w:val="16"/>
                <w:lang w:eastAsia="sq-AL"/>
              </w:rPr>
              <w:t>NACE</w:t>
            </w:r>
          </w:p>
        </w:tc>
        <w:tc>
          <w:tcPr>
            <w:tcW w:w="3673" w:type="dxa"/>
            <w:tcBorders>
              <w:top w:val="single" w:sz="8" w:space="0" w:color="CF7B79"/>
              <w:left w:val="nil"/>
              <w:right w:val="nil"/>
            </w:tcBorders>
            <w:shd w:val="clear" w:color="000000" w:fill="C0504D"/>
            <w:vAlign w:val="center"/>
            <w:hideMark/>
          </w:tcPr>
          <w:p w14:paraId="15C22AF1" w14:textId="77777777" w:rsidR="0008516C" w:rsidRPr="00976B5F" w:rsidRDefault="0008516C" w:rsidP="00264ADC">
            <w:pPr>
              <w:rPr>
                <w:rFonts w:ascii="Arial Narrow" w:hAnsi="Arial Narrow"/>
                <w:b/>
                <w:color w:val="FFFFFF"/>
                <w:spacing w:val="0"/>
                <w:sz w:val="16"/>
                <w:szCs w:val="16"/>
                <w:lang w:eastAsia="sq-AL"/>
              </w:rPr>
            </w:pPr>
            <w:r w:rsidRPr="00976B5F">
              <w:rPr>
                <w:rFonts w:ascii="Arial Narrow" w:hAnsi="Arial Narrow"/>
                <w:b/>
                <w:color w:val="FFFFFF"/>
                <w:spacing w:val="0"/>
                <w:sz w:val="16"/>
                <w:szCs w:val="16"/>
                <w:lang w:eastAsia="sq-AL"/>
              </w:rPr>
              <w:t>Economic activity</w:t>
            </w:r>
          </w:p>
        </w:tc>
        <w:tc>
          <w:tcPr>
            <w:tcW w:w="924" w:type="dxa"/>
            <w:gridSpan w:val="2"/>
            <w:tcBorders>
              <w:top w:val="single" w:sz="8" w:space="0" w:color="CF7B79"/>
              <w:left w:val="nil"/>
              <w:right w:val="nil"/>
            </w:tcBorders>
            <w:shd w:val="clear" w:color="000000" w:fill="C0504D"/>
            <w:hideMark/>
          </w:tcPr>
          <w:p w14:paraId="54F629E1" w14:textId="77777777" w:rsidR="0008516C" w:rsidRPr="00976B5F" w:rsidRDefault="0008516C" w:rsidP="00976B5F">
            <w:pPr>
              <w:spacing w:before="60"/>
              <w:jc w:val="right"/>
              <w:rPr>
                <w:rFonts w:ascii="Arial Narrow" w:hAnsi="Arial Narrow"/>
                <w:b/>
                <w:bCs/>
                <w:color w:val="FFFFFF"/>
                <w:sz w:val="16"/>
                <w:szCs w:val="16"/>
                <w:lang w:val="sq-AL"/>
              </w:rPr>
            </w:pPr>
            <w:r w:rsidRPr="00976B5F">
              <w:rPr>
                <w:rFonts w:ascii="Arial Narrow" w:hAnsi="Arial Narrow"/>
                <w:b/>
                <w:bCs/>
                <w:color w:val="FFFFFF"/>
                <w:sz w:val="16"/>
                <w:szCs w:val="16"/>
                <w:lang w:val="sq-AL"/>
              </w:rPr>
              <w:t>I</w:t>
            </w:r>
            <w:r w:rsidR="006F2701" w:rsidRPr="00976B5F">
              <w:rPr>
                <w:rFonts w:ascii="Arial Narrow" w:hAnsi="Arial Narrow"/>
                <w:b/>
                <w:bCs/>
                <w:color w:val="FFFFFF"/>
                <w:sz w:val="16"/>
                <w:szCs w:val="16"/>
                <w:lang w:val="sq-AL"/>
              </w:rPr>
              <w:t>I</w:t>
            </w:r>
            <w:r w:rsidRPr="00976B5F">
              <w:rPr>
                <w:rFonts w:ascii="Arial Narrow" w:hAnsi="Arial Narrow"/>
                <w:b/>
                <w:bCs/>
                <w:color w:val="FFFFFF"/>
                <w:sz w:val="16"/>
                <w:szCs w:val="16"/>
                <w:lang w:val="sq-AL"/>
              </w:rPr>
              <w:t>.23 / I.2</w:t>
            </w:r>
            <w:r w:rsidR="006F2701" w:rsidRPr="00976B5F">
              <w:rPr>
                <w:rFonts w:ascii="Arial Narrow" w:hAnsi="Arial Narrow"/>
                <w:b/>
                <w:bCs/>
                <w:color w:val="FFFFFF"/>
                <w:sz w:val="16"/>
                <w:szCs w:val="16"/>
                <w:lang w:val="sq-AL"/>
              </w:rPr>
              <w:t>3</w:t>
            </w:r>
          </w:p>
        </w:tc>
        <w:tc>
          <w:tcPr>
            <w:tcW w:w="924" w:type="dxa"/>
            <w:gridSpan w:val="2"/>
            <w:tcBorders>
              <w:top w:val="single" w:sz="8" w:space="0" w:color="CF7B79"/>
              <w:left w:val="nil"/>
              <w:right w:val="single" w:sz="8" w:space="0" w:color="CF7B79"/>
            </w:tcBorders>
            <w:shd w:val="clear" w:color="000000" w:fill="C0504D"/>
            <w:noWrap/>
          </w:tcPr>
          <w:p w14:paraId="02B17DC6" w14:textId="77777777" w:rsidR="0008516C" w:rsidRPr="00976B5F" w:rsidRDefault="0008516C" w:rsidP="00976B5F">
            <w:pPr>
              <w:spacing w:before="60"/>
              <w:jc w:val="right"/>
              <w:rPr>
                <w:rFonts w:ascii="Arial Narrow" w:hAnsi="Arial Narrow"/>
                <w:b/>
                <w:bCs/>
                <w:color w:val="FFFFFF"/>
                <w:sz w:val="16"/>
                <w:szCs w:val="16"/>
                <w:lang w:val="sq-AL"/>
              </w:rPr>
            </w:pPr>
            <w:r w:rsidRPr="00976B5F">
              <w:rPr>
                <w:rFonts w:ascii="Arial Narrow" w:hAnsi="Arial Narrow"/>
                <w:b/>
                <w:bCs/>
                <w:color w:val="FFFFFF"/>
                <w:sz w:val="16"/>
                <w:szCs w:val="16"/>
                <w:lang w:val="sq-AL"/>
              </w:rPr>
              <w:t>I</w:t>
            </w:r>
            <w:r w:rsidR="006F2701" w:rsidRPr="00976B5F">
              <w:rPr>
                <w:rFonts w:ascii="Arial Narrow" w:hAnsi="Arial Narrow"/>
                <w:b/>
                <w:bCs/>
                <w:color w:val="FFFFFF"/>
                <w:sz w:val="16"/>
                <w:szCs w:val="16"/>
                <w:lang w:val="sq-AL"/>
              </w:rPr>
              <w:t>I</w:t>
            </w:r>
            <w:r w:rsidRPr="00976B5F">
              <w:rPr>
                <w:rFonts w:ascii="Arial Narrow" w:hAnsi="Arial Narrow"/>
                <w:b/>
                <w:bCs/>
                <w:color w:val="FFFFFF"/>
                <w:sz w:val="16"/>
                <w:szCs w:val="16"/>
                <w:lang w:val="sq-AL"/>
              </w:rPr>
              <w:t xml:space="preserve">I.23 / </w:t>
            </w:r>
            <w:r w:rsidR="006F2701" w:rsidRPr="00976B5F">
              <w:rPr>
                <w:rFonts w:ascii="Arial Narrow" w:hAnsi="Arial Narrow"/>
                <w:b/>
                <w:bCs/>
                <w:color w:val="FFFFFF"/>
                <w:sz w:val="16"/>
                <w:szCs w:val="16"/>
                <w:lang w:val="sq-AL"/>
              </w:rPr>
              <w:t>I</w:t>
            </w:r>
            <w:r w:rsidRPr="00976B5F">
              <w:rPr>
                <w:rFonts w:ascii="Arial Narrow" w:hAnsi="Arial Narrow"/>
                <w:b/>
                <w:bCs/>
                <w:color w:val="FFFFFF"/>
                <w:sz w:val="16"/>
                <w:szCs w:val="16"/>
                <w:lang w:val="sq-AL"/>
              </w:rPr>
              <w:t>I.23</w:t>
            </w:r>
          </w:p>
        </w:tc>
        <w:tc>
          <w:tcPr>
            <w:tcW w:w="986" w:type="dxa"/>
            <w:gridSpan w:val="3"/>
            <w:tcBorders>
              <w:top w:val="single" w:sz="8" w:space="0" w:color="CF7B79"/>
              <w:left w:val="nil"/>
              <w:right w:val="single" w:sz="8" w:space="0" w:color="CF7B79"/>
            </w:tcBorders>
            <w:shd w:val="clear" w:color="000000" w:fill="C0504D"/>
            <w:noWrap/>
          </w:tcPr>
          <w:p w14:paraId="6E32D105" w14:textId="77777777" w:rsidR="0008516C" w:rsidRPr="00976B5F" w:rsidRDefault="0008516C" w:rsidP="00976B5F">
            <w:pPr>
              <w:spacing w:before="60"/>
              <w:jc w:val="right"/>
              <w:rPr>
                <w:rFonts w:ascii="Arial Narrow" w:hAnsi="Arial Narrow"/>
                <w:b/>
                <w:bCs/>
                <w:color w:val="FFFFFF"/>
                <w:sz w:val="16"/>
                <w:szCs w:val="16"/>
                <w:lang w:val="sq-AL"/>
              </w:rPr>
            </w:pPr>
            <w:r w:rsidRPr="00976B5F">
              <w:rPr>
                <w:rFonts w:ascii="Arial Narrow" w:hAnsi="Arial Narrow"/>
                <w:b/>
                <w:bCs/>
                <w:color w:val="FFFFFF"/>
                <w:sz w:val="16"/>
                <w:szCs w:val="16"/>
                <w:lang w:val="sq-AL"/>
              </w:rPr>
              <w:t>I</w:t>
            </w:r>
            <w:r w:rsidR="006F2701" w:rsidRPr="00976B5F">
              <w:rPr>
                <w:rFonts w:ascii="Arial Narrow" w:hAnsi="Arial Narrow"/>
                <w:b/>
                <w:bCs/>
                <w:color w:val="FFFFFF"/>
                <w:sz w:val="16"/>
                <w:szCs w:val="16"/>
                <w:lang w:val="sq-AL"/>
              </w:rPr>
              <w:t>V</w:t>
            </w:r>
            <w:r w:rsidRPr="00976B5F">
              <w:rPr>
                <w:rFonts w:ascii="Arial Narrow" w:hAnsi="Arial Narrow"/>
                <w:b/>
                <w:bCs/>
                <w:color w:val="FFFFFF"/>
                <w:sz w:val="16"/>
                <w:szCs w:val="16"/>
                <w:lang w:val="sq-AL"/>
              </w:rPr>
              <w:t xml:space="preserve">.23 / </w:t>
            </w:r>
            <w:r w:rsidR="006F2701" w:rsidRPr="00976B5F">
              <w:rPr>
                <w:rFonts w:ascii="Arial Narrow" w:hAnsi="Arial Narrow"/>
                <w:b/>
                <w:bCs/>
                <w:color w:val="FFFFFF"/>
                <w:sz w:val="16"/>
                <w:szCs w:val="16"/>
                <w:lang w:val="sq-AL"/>
              </w:rPr>
              <w:t>I</w:t>
            </w:r>
            <w:r w:rsidRPr="00976B5F">
              <w:rPr>
                <w:rFonts w:ascii="Arial Narrow" w:hAnsi="Arial Narrow"/>
                <w:b/>
                <w:bCs/>
                <w:color w:val="FFFFFF"/>
                <w:sz w:val="16"/>
                <w:szCs w:val="16"/>
                <w:lang w:val="sq-AL"/>
              </w:rPr>
              <w:t>II.23</w:t>
            </w:r>
          </w:p>
        </w:tc>
        <w:tc>
          <w:tcPr>
            <w:tcW w:w="989" w:type="dxa"/>
            <w:tcBorders>
              <w:top w:val="single" w:sz="8" w:space="0" w:color="CF7B79"/>
              <w:left w:val="nil"/>
              <w:right w:val="single" w:sz="8" w:space="0" w:color="CF7B79"/>
            </w:tcBorders>
            <w:shd w:val="clear" w:color="000000" w:fill="C0504D"/>
            <w:noWrap/>
          </w:tcPr>
          <w:p w14:paraId="2E89A096" w14:textId="77777777" w:rsidR="0008516C" w:rsidRPr="00976B5F" w:rsidRDefault="0008516C" w:rsidP="00976B5F">
            <w:pPr>
              <w:spacing w:before="60"/>
              <w:jc w:val="right"/>
              <w:rPr>
                <w:rFonts w:ascii="Arial Narrow" w:hAnsi="Arial Narrow"/>
                <w:b/>
                <w:bCs/>
                <w:color w:val="FFFFFF"/>
                <w:sz w:val="16"/>
                <w:szCs w:val="16"/>
                <w:lang w:val="sq-AL"/>
              </w:rPr>
            </w:pPr>
            <w:r w:rsidRPr="00976B5F">
              <w:rPr>
                <w:rFonts w:ascii="Arial Narrow" w:hAnsi="Arial Narrow"/>
                <w:b/>
                <w:bCs/>
                <w:color w:val="FFFFFF"/>
                <w:sz w:val="16"/>
                <w:szCs w:val="16"/>
                <w:lang w:val="sq-AL"/>
              </w:rPr>
              <w:t>I.2</w:t>
            </w:r>
            <w:r w:rsidR="006F2701" w:rsidRPr="00976B5F">
              <w:rPr>
                <w:rFonts w:ascii="Arial Narrow" w:hAnsi="Arial Narrow"/>
                <w:b/>
                <w:bCs/>
                <w:color w:val="FFFFFF"/>
                <w:sz w:val="16"/>
                <w:szCs w:val="16"/>
                <w:lang w:val="sq-AL"/>
              </w:rPr>
              <w:t>4</w:t>
            </w:r>
            <w:r w:rsidRPr="00976B5F">
              <w:rPr>
                <w:rFonts w:ascii="Arial Narrow" w:hAnsi="Arial Narrow"/>
                <w:b/>
                <w:bCs/>
                <w:color w:val="FFFFFF"/>
                <w:sz w:val="16"/>
                <w:szCs w:val="16"/>
                <w:lang w:val="sq-AL"/>
              </w:rPr>
              <w:t xml:space="preserve"> / I</w:t>
            </w:r>
            <w:r w:rsidR="006F2701" w:rsidRPr="00976B5F">
              <w:rPr>
                <w:rFonts w:ascii="Arial Narrow" w:hAnsi="Arial Narrow"/>
                <w:b/>
                <w:bCs/>
                <w:color w:val="FFFFFF"/>
                <w:sz w:val="16"/>
                <w:szCs w:val="16"/>
                <w:lang w:val="sq-AL"/>
              </w:rPr>
              <w:t>V</w:t>
            </w:r>
            <w:r w:rsidRPr="00976B5F">
              <w:rPr>
                <w:rFonts w:ascii="Arial Narrow" w:hAnsi="Arial Narrow"/>
                <w:b/>
                <w:bCs/>
                <w:color w:val="FFFFFF"/>
                <w:sz w:val="16"/>
                <w:szCs w:val="16"/>
                <w:lang w:val="sq-AL"/>
              </w:rPr>
              <w:t>.23</w:t>
            </w:r>
          </w:p>
        </w:tc>
        <w:tc>
          <w:tcPr>
            <w:tcW w:w="846" w:type="dxa"/>
            <w:tcBorders>
              <w:top w:val="single" w:sz="8" w:space="0" w:color="CF7B79"/>
              <w:left w:val="nil"/>
              <w:right w:val="single" w:sz="8" w:space="0" w:color="CF7B79"/>
            </w:tcBorders>
            <w:shd w:val="clear" w:color="000000" w:fill="C0504D"/>
            <w:noWrap/>
          </w:tcPr>
          <w:p w14:paraId="70E256F5" w14:textId="77777777" w:rsidR="0008516C" w:rsidRPr="00976B5F" w:rsidRDefault="0008516C" w:rsidP="00976B5F">
            <w:pPr>
              <w:spacing w:before="60"/>
              <w:jc w:val="right"/>
              <w:rPr>
                <w:rFonts w:ascii="Arial Narrow" w:hAnsi="Arial Narrow"/>
                <w:b/>
                <w:bCs/>
                <w:color w:val="FFFFFF"/>
                <w:sz w:val="16"/>
                <w:szCs w:val="16"/>
                <w:lang w:val="sq-AL"/>
              </w:rPr>
            </w:pPr>
            <w:r w:rsidRPr="00976B5F">
              <w:rPr>
                <w:rFonts w:ascii="Arial Narrow" w:hAnsi="Arial Narrow"/>
                <w:b/>
                <w:bCs/>
                <w:color w:val="FFFFFF"/>
                <w:sz w:val="16"/>
                <w:szCs w:val="16"/>
                <w:lang w:val="sq-AL"/>
              </w:rPr>
              <w:t>I</w:t>
            </w:r>
            <w:r w:rsidR="006F2701" w:rsidRPr="00976B5F">
              <w:rPr>
                <w:rFonts w:ascii="Arial Narrow" w:hAnsi="Arial Narrow"/>
                <w:b/>
                <w:bCs/>
                <w:color w:val="FFFFFF"/>
                <w:sz w:val="16"/>
                <w:szCs w:val="16"/>
                <w:lang w:val="sq-AL"/>
              </w:rPr>
              <w:t>I</w:t>
            </w:r>
            <w:r w:rsidRPr="00976B5F">
              <w:rPr>
                <w:rFonts w:ascii="Arial Narrow" w:hAnsi="Arial Narrow"/>
                <w:b/>
                <w:bCs/>
                <w:color w:val="FFFFFF"/>
                <w:sz w:val="16"/>
                <w:szCs w:val="16"/>
                <w:lang w:val="sq-AL"/>
              </w:rPr>
              <w:t>.24 / I.2</w:t>
            </w:r>
            <w:r w:rsidR="006F2701" w:rsidRPr="00976B5F">
              <w:rPr>
                <w:rFonts w:ascii="Arial Narrow" w:hAnsi="Arial Narrow"/>
                <w:b/>
                <w:bCs/>
                <w:color w:val="FFFFFF"/>
                <w:sz w:val="16"/>
                <w:szCs w:val="16"/>
                <w:lang w:val="sq-AL"/>
              </w:rPr>
              <w:t>4</w:t>
            </w:r>
          </w:p>
        </w:tc>
      </w:tr>
      <w:tr w:rsidR="006F2701" w:rsidRPr="00976B5F" w14:paraId="0A02236E" w14:textId="77777777" w:rsidTr="00D166A0">
        <w:trPr>
          <w:trHeight w:val="175"/>
        </w:trPr>
        <w:tc>
          <w:tcPr>
            <w:tcW w:w="1112" w:type="dxa"/>
            <w:tcBorders>
              <w:left w:val="single" w:sz="8" w:space="0" w:color="CF7B79"/>
              <w:bottom w:val="single" w:sz="8" w:space="0" w:color="CF7B79"/>
              <w:right w:val="nil"/>
            </w:tcBorders>
            <w:shd w:val="clear" w:color="000000" w:fill="EFD3D2"/>
            <w:noWrap/>
            <w:vAlign w:val="center"/>
            <w:hideMark/>
          </w:tcPr>
          <w:p w14:paraId="401D7F9F" w14:textId="77777777" w:rsidR="006F2701" w:rsidRPr="00976B5F" w:rsidRDefault="006F2701" w:rsidP="00976B5F">
            <w:pPr>
              <w:rPr>
                <w:rFonts w:ascii="Arial Narrow" w:hAnsi="Arial Narrow"/>
                <w:b/>
                <w:bCs/>
                <w:color w:val="000000"/>
                <w:spacing w:val="0"/>
                <w:sz w:val="16"/>
                <w:szCs w:val="16"/>
                <w:lang w:eastAsia="sq-AL"/>
              </w:rPr>
            </w:pPr>
            <w:r w:rsidRPr="00976B5F">
              <w:rPr>
                <w:rFonts w:ascii="Arial Narrow" w:hAnsi="Arial Narrow"/>
                <w:b/>
                <w:bCs/>
                <w:color w:val="000000"/>
                <w:spacing w:val="0"/>
                <w:sz w:val="16"/>
                <w:szCs w:val="16"/>
                <w:lang w:eastAsia="sq-AL"/>
              </w:rPr>
              <w:t>47</w:t>
            </w:r>
          </w:p>
        </w:tc>
        <w:tc>
          <w:tcPr>
            <w:tcW w:w="3673" w:type="dxa"/>
            <w:tcBorders>
              <w:left w:val="nil"/>
              <w:bottom w:val="single" w:sz="8" w:space="0" w:color="CF7B79"/>
              <w:right w:val="nil"/>
            </w:tcBorders>
            <w:shd w:val="clear" w:color="000000" w:fill="EFD3D2"/>
            <w:vAlign w:val="center"/>
            <w:hideMark/>
          </w:tcPr>
          <w:p w14:paraId="46B5D984" w14:textId="77777777" w:rsidR="006F2701" w:rsidRPr="00976B5F" w:rsidRDefault="006F2701" w:rsidP="006F2701">
            <w:pPr>
              <w:rPr>
                <w:rFonts w:ascii="Arial Narrow" w:hAnsi="Arial Narrow"/>
                <w:b/>
                <w:bCs/>
                <w:spacing w:val="0"/>
                <w:sz w:val="16"/>
                <w:szCs w:val="16"/>
                <w:lang w:eastAsia="sq-AL"/>
              </w:rPr>
            </w:pPr>
            <w:r w:rsidRPr="00976B5F">
              <w:rPr>
                <w:rFonts w:ascii="Arial Narrow" w:hAnsi="Arial Narrow"/>
                <w:b/>
                <w:bCs/>
                <w:spacing w:val="0"/>
                <w:sz w:val="16"/>
                <w:szCs w:val="16"/>
                <w:lang w:eastAsia="sq-AL"/>
              </w:rPr>
              <w:t>Retail trade</w:t>
            </w:r>
          </w:p>
        </w:tc>
        <w:tc>
          <w:tcPr>
            <w:tcW w:w="924" w:type="dxa"/>
            <w:gridSpan w:val="2"/>
            <w:tcBorders>
              <w:left w:val="nil"/>
              <w:bottom w:val="single" w:sz="8" w:space="0" w:color="CF7B79"/>
              <w:right w:val="nil"/>
            </w:tcBorders>
            <w:shd w:val="clear" w:color="000000" w:fill="EFD3D2"/>
            <w:vAlign w:val="center"/>
          </w:tcPr>
          <w:p w14:paraId="4966863A"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1,0</w:t>
            </w:r>
          </w:p>
        </w:tc>
        <w:tc>
          <w:tcPr>
            <w:tcW w:w="924" w:type="dxa"/>
            <w:gridSpan w:val="2"/>
            <w:tcBorders>
              <w:left w:val="nil"/>
              <w:bottom w:val="single" w:sz="8" w:space="0" w:color="CF7B79"/>
              <w:right w:val="nil"/>
            </w:tcBorders>
            <w:shd w:val="clear" w:color="000000" w:fill="EFD3D2"/>
            <w:noWrap/>
            <w:vAlign w:val="center"/>
          </w:tcPr>
          <w:p w14:paraId="7D3840C6"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1,2</w:t>
            </w:r>
          </w:p>
        </w:tc>
        <w:tc>
          <w:tcPr>
            <w:tcW w:w="986" w:type="dxa"/>
            <w:gridSpan w:val="3"/>
            <w:tcBorders>
              <w:left w:val="nil"/>
              <w:bottom w:val="single" w:sz="8" w:space="0" w:color="CF7B79"/>
              <w:right w:val="nil"/>
            </w:tcBorders>
            <w:shd w:val="clear" w:color="000000" w:fill="EFD3D2"/>
            <w:noWrap/>
            <w:vAlign w:val="center"/>
          </w:tcPr>
          <w:p w14:paraId="7219E6BC"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0,9</w:t>
            </w:r>
          </w:p>
        </w:tc>
        <w:tc>
          <w:tcPr>
            <w:tcW w:w="989" w:type="dxa"/>
            <w:tcBorders>
              <w:left w:val="nil"/>
              <w:bottom w:val="single" w:sz="8" w:space="0" w:color="CF7B79"/>
              <w:right w:val="nil"/>
            </w:tcBorders>
            <w:shd w:val="clear" w:color="000000" w:fill="EFD3D2"/>
            <w:noWrap/>
            <w:vAlign w:val="center"/>
          </w:tcPr>
          <w:p w14:paraId="66B5AF68"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1,7</w:t>
            </w:r>
          </w:p>
        </w:tc>
        <w:tc>
          <w:tcPr>
            <w:tcW w:w="846" w:type="dxa"/>
            <w:tcBorders>
              <w:left w:val="nil"/>
              <w:bottom w:val="single" w:sz="8" w:space="0" w:color="CF7B79"/>
              <w:right w:val="single" w:sz="8" w:space="0" w:color="CF7B79"/>
            </w:tcBorders>
            <w:shd w:val="clear" w:color="000000" w:fill="EFD3D2"/>
            <w:noWrap/>
            <w:vAlign w:val="center"/>
          </w:tcPr>
          <w:p w14:paraId="63172563"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2,0</w:t>
            </w:r>
          </w:p>
        </w:tc>
      </w:tr>
      <w:tr w:rsidR="006F2701" w:rsidRPr="00976B5F" w14:paraId="3360A0E7" w14:textId="77777777" w:rsidTr="00D166A0">
        <w:trPr>
          <w:trHeight w:val="295"/>
        </w:trPr>
        <w:tc>
          <w:tcPr>
            <w:tcW w:w="1112" w:type="dxa"/>
            <w:tcBorders>
              <w:top w:val="nil"/>
              <w:left w:val="single" w:sz="8" w:space="0" w:color="CF7B79"/>
              <w:bottom w:val="single" w:sz="8" w:space="0" w:color="CF7B79"/>
              <w:right w:val="nil"/>
            </w:tcBorders>
            <w:shd w:val="clear" w:color="000000" w:fill="EFD3D2"/>
            <w:noWrap/>
            <w:vAlign w:val="center"/>
            <w:hideMark/>
          </w:tcPr>
          <w:p w14:paraId="0F15EBFC" w14:textId="77777777" w:rsidR="006F2701" w:rsidRPr="00976B5F" w:rsidRDefault="006F2701" w:rsidP="00976B5F">
            <w:pPr>
              <w:rPr>
                <w:rFonts w:ascii="Arial Narrow" w:hAnsi="Arial Narrow"/>
                <w:b/>
                <w:bCs/>
                <w:color w:val="000000"/>
                <w:spacing w:val="0"/>
                <w:sz w:val="16"/>
                <w:szCs w:val="16"/>
                <w:lang w:eastAsia="sq-AL"/>
              </w:rPr>
            </w:pPr>
            <w:r w:rsidRPr="00976B5F">
              <w:rPr>
                <w:rFonts w:ascii="Arial Narrow" w:hAnsi="Arial Narrow"/>
                <w:b/>
                <w:bCs/>
                <w:color w:val="000000"/>
                <w:spacing w:val="0"/>
                <w:sz w:val="16"/>
                <w:szCs w:val="16"/>
                <w:lang w:eastAsia="sq-AL"/>
              </w:rPr>
              <w:t>47ex473</w:t>
            </w:r>
          </w:p>
        </w:tc>
        <w:tc>
          <w:tcPr>
            <w:tcW w:w="3673" w:type="dxa"/>
            <w:tcBorders>
              <w:top w:val="nil"/>
              <w:left w:val="nil"/>
              <w:bottom w:val="single" w:sz="8" w:space="0" w:color="CF7B79"/>
              <w:right w:val="nil"/>
            </w:tcBorders>
            <w:shd w:val="clear" w:color="000000" w:fill="EFD3D2"/>
            <w:vAlign w:val="center"/>
            <w:hideMark/>
          </w:tcPr>
          <w:p w14:paraId="570ADECA" w14:textId="77777777" w:rsidR="006F2701" w:rsidRPr="00976B5F" w:rsidRDefault="006F2701" w:rsidP="006F2701">
            <w:pPr>
              <w:rPr>
                <w:rFonts w:ascii="Arial Narrow" w:hAnsi="Arial Narrow"/>
                <w:b/>
                <w:bCs/>
                <w:spacing w:val="0"/>
                <w:sz w:val="16"/>
                <w:szCs w:val="16"/>
                <w:lang w:eastAsia="sq-AL"/>
              </w:rPr>
            </w:pPr>
            <w:r w:rsidRPr="00976B5F">
              <w:rPr>
                <w:rFonts w:ascii="Arial Narrow" w:hAnsi="Arial Narrow"/>
                <w:b/>
                <w:bCs/>
                <w:spacing w:val="0"/>
                <w:sz w:val="16"/>
                <w:szCs w:val="16"/>
                <w:lang w:eastAsia="sq-AL"/>
              </w:rPr>
              <w:t>Retail trade. except r</w:t>
            </w:r>
            <w:r w:rsidRPr="00976B5F">
              <w:rPr>
                <w:rFonts w:ascii="Arial Narrow" w:hAnsi="Arial Narrow"/>
                <w:b/>
                <w:spacing w:val="0"/>
                <w:sz w:val="16"/>
                <w:szCs w:val="16"/>
                <w:lang w:eastAsia="sq-AL"/>
              </w:rPr>
              <w:t>etail sale of automotive fuel</w:t>
            </w:r>
          </w:p>
        </w:tc>
        <w:tc>
          <w:tcPr>
            <w:tcW w:w="924" w:type="dxa"/>
            <w:gridSpan w:val="2"/>
            <w:tcBorders>
              <w:top w:val="single" w:sz="8" w:space="0" w:color="CF7B79"/>
              <w:left w:val="nil"/>
              <w:bottom w:val="single" w:sz="8" w:space="0" w:color="CF7B79"/>
              <w:right w:val="nil"/>
            </w:tcBorders>
            <w:shd w:val="clear" w:color="000000" w:fill="EFD3D2"/>
            <w:vAlign w:val="center"/>
          </w:tcPr>
          <w:p w14:paraId="5711C6B8"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0,9</w:t>
            </w:r>
          </w:p>
        </w:tc>
        <w:tc>
          <w:tcPr>
            <w:tcW w:w="924" w:type="dxa"/>
            <w:gridSpan w:val="2"/>
            <w:tcBorders>
              <w:top w:val="single" w:sz="8" w:space="0" w:color="CF7B79"/>
              <w:left w:val="nil"/>
              <w:bottom w:val="single" w:sz="8" w:space="0" w:color="CF7B79"/>
              <w:right w:val="nil"/>
            </w:tcBorders>
            <w:shd w:val="clear" w:color="000000" w:fill="EFD3D2"/>
            <w:noWrap/>
            <w:vAlign w:val="center"/>
          </w:tcPr>
          <w:p w14:paraId="60016ACA"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0,9</w:t>
            </w:r>
          </w:p>
        </w:tc>
        <w:tc>
          <w:tcPr>
            <w:tcW w:w="986" w:type="dxa"/>
            <w:gridSpan w:val="3"/>
            <w:tcBorders>
              <w:top w:val="single" w:sz="8" w:space="0" w:color="CF7B79"/>
              <w:left w:val="nil"/>
              <w:bottom w:val="single" w:sz="8" w:space="0" w:color="CF7B79"/>
              <w:right w:val="nil"/>
            </w:tcBorders>
            <w:shd w:val="clear" w:color="000000" w:fill="EFD3D2"/>
            <w:noWrap/>
            <w:vAlign w:val="center"/>
          </w:tcPr>
          <w:p w14:paraId="316AC171"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2,2</w:t>
            </w:r>
          </w:p>
        </w:tc>
        <w:tc>
          <w:tcPr>
            <w:tcW w:w="989" w:type="dxa"/>
            <w:tcBorders>
              <w:top w:val="single" w:sz="8" w:space="0" w:color="CF7B79"/>
              <w:left w:val="nil"/>
              <w:bottom w:val="single" w:sz="8" w:space="0" w:color="CF7B79"/>
              <w:right w:val="nil"/>
            </w:tcBorders>
            <w:shd w:val="clear" w:color="000000" w:fill="EFD3D2"/>
            <w:noWrap/>
            <w:vAlign w:val="center"/>
          </w:tcPr>
          <w:p w14:paraId="678BE1C4"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1,9</w:t>
            </w:r>
          </w:p>
        </w:tc>
        <w:tc>
          <w:tcPr>
            <w:tcW w:w="846" w:type="dxa"/>
            <w:tcBorders>
              <w:top w:val="single" w:sz="8" w:space="0" w:color="CF7B79"/>
              <w:left w:val="nil"/>
              <w:bottom w:val="single" w:sz="8" w:space="0" w:color="CF7B79"/>
              <w:right w:val="single" w:sz="8" w:space="0" w:color="CF7B79"/>
            </w:tcBorders>
            <w:shd w:val="clear" w:color="000000" w:fill="EFD3D2"/>
            <w:noWrap/>
            <w:vAlign w:val="center"/>
          </w:tcPr>
          <w:p w14:paraId="7C61149C"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1,2</w:t>
            </w:r>
          </w:p>
        </w:tc>
      </w:tr>
      <w:tr w:rsidR="006F2701" w:rsidRPr="00976B5F" w14:paraId="45B33BEF" w14:textId="77777777" w:rsidTr="00D166A0">
        <w:trPr>
          <w:trHeight w:val="295"/>
        </w:trPr>
        <w:tc>
          <w:tcPr>
            <w:tcW w:w="1112" w:type="dxa"/>
            <w:tcBorders>
              <w:top w:val="nil"/>
              <w:left w:val="single" w:sz="8" w:space="0" w:color="CF7B79"/>
              <w:bottom w:val="single" w:sz="8" w:space="0" w:color="CF7B79"/>
              <w:right w:val="nil"/>
            </w:tcBorders>
            <w:shd w:val="clear" w:color="auto" w:fill="auto"/>
            <w:noWrap/>
            <w:vAlign w:val="center"/>
            <w:hideMark/>
          </w:tcPr>
          <w:p w14:paraId="1D099E0E" w14:textId="77777777" w:rsidR="006F2701" w:rsidRPr="00976B5F" w:rsidRDefault="006F2701" w:rsidP="00976B5F">
            <w:pPr>
              <w:rPr>
                <w:rFonts w:ascii="Arial Narrow" w:hAnsi="Arial Narrow"/>
                <w:color w:val="000000"/>
                <w:spacing w:val="0"/>
                <w:sz w:val="16"/>
                <w:szCs w:val="16"/>
                <w:lang w:eastAsia="sq-AL"/>
              </w:rPr>
            </w:pPr>
            <w:r w:rsidRPr="00976B5F">
              <w:rPr>
                <w:rFonts w:ascii="Arial Narrow" w:hAnsi="Arial Narrow"/>
                <w:color w:val="000000"/>
                <w:spacing w:val="0"/>
                <w:sz w:val="16"/>
                <w:szCs w:val="16"/>
                <w:lang w:eastAsia="sq-AL"/>
              </w:rPr>
              <w:t>4711; 472</w:t>
            </w:r>
          </w:p>
        </w:tc>
        <w:tc>
          <w:tcPr>
            <w:tcW w:w="3673" w:type="dxa"/>
            <w:tcBorders>
              <w:top w:val="nil"/>
              <w:left w:val="nil"/>
              <w:bottom w:val="single" w:sz="8" w:space="0" w:color="CF7B79"/>
              <w:right w:val="nil"/>
            </w:tcBorders>
            <w:shd w:val="clear" w:color="auto" w:fill="auto"/>
            <w:hideMark/>
          </w:tcPr>
          <w:p w14:paraId="1501344A" w14:textId="77777777" w:rsidR="006F2701" w:rsidRPr="00976B5F" w:rsidRDefault="006F2701" w:rsidP="006F2701">
            <w:pPr>
              <w:autoSpaceDE w:val="0"/>
              <w:autoSpaceDN w:val="0"/>
              <w:adjustRightInd w:val="0"/>
              <w:rPr>
                <w:rFonts w:ascii="Arial Narrow" w:hAnsi="Arial Narrow"/>
                <w:spacing w:val="0"/>
                <w:sz w:val="16"/>
                <w:szCs w:val="16"/>
                <w:lang w:eastAsia="sq-AL"/>
              </w:rPr>
            </w:pPr>
            <w:r w:rsidRPr="00976B5F">
              <w:rPr>
                <w:rFonts w:ascii="Arial Narrow" w:hAnsi="Arial Narrow"/>
                <w:spacing w:val="0"/>
                <w:sz w:val="16"/>
                <w:szCs w:val="16"/>
                <w:lang w:eastAsia="sq-AL"/>
              </w:rPr>
              <w:t xml:space="preserve">Food. beverages and tobacco in both specialized and </w:t>
            </w:r>
            <w:r w:rsidR="00976B5F" w:rsidRPr="00976B5F">
              <w:rPr>
                <w:rFonts w:ascii="Arial Narrow" w:hAnsi="Arial Narrow"/>
                <w:spacing w:val="0"/>
                <w:sz w:val="16"/>
                <w:szCs w:val="16"/>
                <w:lang w:eastAsia="sq-AL"/>
              </w:rPr>
              <w:t>non-specialized</w:t>
            </w:r>
            <w:r w:rsidRPr="00976B5F">
              <w:rPr>
                <w:rFonts w:ascii="Arial Narrow" w:hAnsi="Arial Narrow"/>
                <w:spacing w:val="0"/>
                <w:sz w:val="16"/>
                <w:szCs w:val="16"/>
                <w:lang w:eastAsia="sq-AL"/>
              </w:rPr>
              <w:t xml:space="preserve"> stores</w:t>
            </w:r>
          </w:p>
        </w:tc>
        <w:tc>
          <w:tcPr>
            <w:tcW w:w="924" w:type="dxa"/>
            <w:gridSpan w:val="2"/>
            <w:tcBorders>
              <w:top w:val="single" w:sz="8" w:space="0" w:color="CF7B79"/>
              <w:left w:val="nil"/>
              <w:bottom w:val="single" w:sz="8" w:space="0" w:color="CF7B79"/>
              <w:right w:val="nil"/>
            </w:tcBorders>
            <w:shd w:val="clear" w:color="auto" w:fill="auto"/>
            <w:vAlign w:val="center"/>
          </w:tcPr>
          <w:p w14:paraId="6A3FAD02"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1,2</w:t>
            </w:r>
          </w:p>
        </w:tc>
        <w:tc>
          <w:tcPr>
            <w:tcW w:w="924" w:type="dxa"/>
            <w:gridSpan w:val="2"/>
            <w:tcBorders>
              <w:top w:val="single" w:sz="8" w:space="0" w:color="CF7B79"/>
              <w:left w:val="nil"/>
              <w:bottom w:val="single" w:sz="8" w:space="0" w:color="CF7B79"/>
              <w:right w:val="nil"/>
            </w:tcBorders>
            <w:shd w:val="clear" w:color="auto" w:fill="auto"/>
            <w:noWrap/>
            <w:vAlign w:val="center"/>
          </w:tcPr>
          <w:p w14:paraId="27DD136C"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1,9</w:t>
            </w:r>
          </w:p>
        </w:tc>
        <w:tc>
          <w:tcPr>
            <w:tcW w:w="986" w:type="dxa"/>
            <w:gridSpan w:val="3"/>
            <w:tcBorders>
              <w:top w:val="single" w:sz="8" w:space="0" w:color="CF7B79"/>
              <w:left w:val="nil"/>
              <w:bottom w:val="single" w:sz="8" w:space="0" w:color="CF7B79"/>
              <w:right w:val="nil"/>
            </w:tcBorders>
            <w:shd w:val="clear" w:color="auto" w:fill="auto"/>
            <w:noWrap/>
            <w:vAlign w:val="center"/>
          </w:tcPr>
          <w:p w14:paraId="673EED13"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3,3</w:t>
            </w:r>
          </w:p>
        </w:tc>
        <w:tc>
          <w:tcPr>
            <w:tcW w:w="989" w:type="dxa"/>
            <w:tcBorders>
              <w:top w:val="single" w:sz="8" w:space="0" w:color="CF7B79"/>
              <w:left w:val="nil"/>
              <w:bottom w:val="single" w:sz="8" w:space="0" w:color="CF7B79"/>
              <w:right w:val="nil"/>
            </w:tcBorders>
            <w:noWrap/>
            <w:vAlign w:val="center"/>
          </w:tcPr>
          <w:p w14:paraId="7419DFBF"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-0,9</w:t>
            </w:r>
          </w:p>
        </w:tc>
        <w:tc>
          <w:tcPr>
            <w:tcW w:w="846" w:type="dxa"/>
            <w:tcBorders>
              <w:top w:val="single" w:sz="8" w:space="0" w:color="CF7B79"/>
              <w:left w:val="nil"/>
              <w:bottom w:val="single" w:sz="8" w:space="0" w:color="CF7B79"/>
              <w:right w:val="single" w:sz="8" w:space="0" w:color="CF7B79"/>
            </w:tcBorders>
            <w:shd w:val="clear" w:color="auto" w:fill="auto"/>
            <w:noWrap/>
            <w:vAlign w:val="center"/>
          </w:tcPr>
          <w:p w14:paraId="1FA9872B"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1,4</w:t>
            </w:r>
          </w:p>
        </w:tc>
      </w:tr>
      <w:tr w:rsidR="006F2701" w:rsidRPr="00976B5F" w14:paraId="3D57F05B" w14:textId="77777777" w:rsidTr="00D166A0">
        <w:trPr>
          <w:trHeight w:val="295"/>
        </w:trPr>
        <w:tc>
          <w:tcPr>
            <w:tcW w:w="1112" w:type="dxa"/>
            <w:tcBorders>
              <w:top w:val="nil"/>
              <w:left w:val="single" w:sz="8" w:space="0" w:color="CF7B79"/>
              <w:bottom w:val="single" w:sz="8" w:space="0" w:color="CF7B79"/>
              <w:right w:val="nil"/>
            </w:tcBorders>
            <w:shd w:val="clear" w:color="auto" w:fill="auto"/>
            <w:noWrap/>
            <w:vAlign w:val="center"/>
            <w:hideMark/>
          </w:tcPr>
          <w:p w14:paraId="080F2C53" w14:textId="77777777" w:rsidR="006F2701" w:rsidRPr="00976B5F" w:rsidRDefault="006F2701" w:rsidP="00976B5F">
            <w:pPr>
              <w:rPr>
                <w:rFonts w:ascii="Arial Narrow" w:hAnsi="Arial Narrow"/>
                <w:color w:val="000000"/>
                <w:spacing w:val="0"/>
                <w:sz w:val="16"/>
                <w:szCs w:val="16"/>
                <w:lang w:eastAsia="sq-AL"/>
              </w:rPr>
            </w:pPr>
            <w:r w:rsidRPr="00976B5F">
              <w:rPr>
                <w:rFonts w:ascii="Arial Narrow" w:hAnsi="Arial Narrow"/>
                <w:color w:val="000000"/>
                <w:spacing w:val="0"/>
                <w:sz w:val="16"/>
                <w:szCs w:val="16"/>
                <w:lang w:eastAsia="sq-AL"/>
              </w:rPr>
              <w:t>4719; 474-4778</w:t>
            </w:r>
          </w:p>
        </w:tc>
        <w:tc>
          <w:tcPr>
            <w:tcW w:w="3673" w:type="dxa"/>
            <w:tcBorders>
              <w:top w:val="nil"/>
              <w:left w:val="nil"/>
              <w:bottom w:val="single" w:sz="8" w:space="0" w:color="CF7B79"/>
              <w:right w:val="nil"/>
            </w:tcBorders>
            <w:shd w:val="clear" w:color="auto" w:fill="auto"/>
            <w:hideMark/>
          </w:tcPr>
          <w:p w14:paraId="4924203A" w14:textId="77777777" w:rsidR="006F2701" w:rsidRPr="00976B5F" w:rsidRDefault="006F2701" w:rsidP="006F2701">
            <w:pPr>
              <w:autoSpaceDE w:val="0"/>
              <w:autoSpaceDN w:val="0"/>
              <w:adjustRightInd w:val="0"/>
              <w:rPr>
                <w:rFonts w:ascii="Arial Narrow" w:hAnsi="Arial Narrow"/>
                <w:spacing w:val="0"/>
                <w:sz w:val="16"/>
                <w:szCs w:val="16"/>
                <w:lang w:eastAsia="sq-AL"/>
              </w:rPr>
            </w:pPr>
            <w:r w:rsidRPr="00976B5F">
              <w:rPr>
                <w:rFonts w:ascii="Arial Narrow" w:hAnsi="Arial Narrow"/>
                <w:spacing w:val="0"/>
                <w:sz w:val="16"/>
                <w:szCs w:val="16"/>
                <w:lang w:eastAsia="sq-AL"/>
              </w:rPr>
              <w:t xml:space="preserve">Non-food Products in specialized and </w:t>
            </w:r>
            <w:r w:rsidR="00976B5F" w:rsidRPr="00976B5F">
              <w:rPr>
                <w:rFonts w:ascii="Arial Narrow" w:hAnsi="Arial Narrow"/>
                <w:spacing w:val="0"/>
                <w:sz w:val="16"/>
                <w:szCs w:val="16"/>
                <w:lang w:eastAsia="sq-AL"/>
              </w:rPr>
              <w:t>non-specialized</w:t>
            </w:r>
            <w:r w:rsidRPr="00976B5F">
              <w:rPr>
                <w:rFonts w:ascii="Arial Narrow" w:hAnsi="Arial Narrow"/>
                <w:spacing w:val="0"/>
                <w:sz w:val="16"/>
                <w:szCs w:val="16"/>
                <w:lang w:eastAsia="sq-AL"/>
              </w:rPr>
              <w:t xml:space="preserve"> stores</w:t>
            </w:r>
          </w:p>
        </w:tc>
        <w:tc>
          <w:tcPr>
            <w:tcW w:w="924" w:type="dxa"/>
            <w:gridSpan w:val="2"/>
            <w:tcBorders>
              <w:top w:val="single" w:sz="8" w:space="0" w:color="CF7B79"/>
              <w:left w:val="nil"/>
              <w:bottom w:val="single" w:sz="8" w:space="0" w:color="CF7B79"/>
              <w:right w:val="nil"/>
            </w:tcBorders>
            <w:shd w:val="clear" w:color="auto" w:fill="auto"/>
            <w:vAlign w:val="center"/>
          </w:tcPr>
          <w:p w14:paraId="09F53421"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1,1</w:t>
            </w:r>
          </w:p>
        </w:tc>
        <w:tc>
          <w:tcPr>
            <w:tcW w:w="924" w:type="dxa"/>
            <w:gridSpan w:val="2"/>
            <w:tcBorders>
              <w:top w:val="single" w:sz="8" w:space="0" w:color="CF7B79"/>
              <w:left w:val="nil"/>
              <w:bottom w:val="single" w:sz="8" w:space="0" w:color="CF7B79"/>
              <w:right w:val="nil"/>
            </w:tcBorders>
            <w:shd w:val="clear" w:color="auto" w:fill="auto"/>
            <w:noWrap/>
            <w:vAlign w:val="center"/>
          </w:tcPr>
          <w:p w14:paraId="1EDD8E69"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0,4</w:t>
            </w:r>
          </w:p>
        </w:tc>
        <w:tc>
          <w:tcPr>
            <w:tcW w:w="986" w:type="dxa"/>
            <w:gridSpan w:val="3"/>
            <w:tcBorders>
              <w:top w:val="single" w:sz="8" w:space="0" w:color="CF7B79"/>
              <w:left w:val="nil"/>
              <w:bottom w:val="single" w:sz="8" w:space="0" w:color="CF7B79"/>
              <w:right w:val="nil"/>
            </w:tcBorders>
            <w:shd w:val="clear" w:color="auto" w:fill="auto"/>
            <w:noWrap/>
            <w:vAlign w:val="center"/>
          </w:tcPr>
          <w:p w14:paraId="34AD235E"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2,0</w:t>
            </w:r>
          </w:p>
        </w:tc>
        <w:tc>
          <w:tcPr>
            <w:tcW w:w="989" w:type="dxa"/>
            <w:tcBorders>
              <w:top w:val="single" w:sz="8" w:space="0" w:color="CF7B79"/>
              <w:left w:val="nil"/>
              <w:bottom w:val="single" w:sz="8" w:space="0" w:color="CF7B79"/>
              <w:right w:val="nil"/>
            </w:tcBorders>
            <w:noWrap/>
            <w:vAlign w:val="center"/>
          </w:tcPr>
          <w:p w14:paraId="7132A317"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3,1</w:t>
            </w:r>
          </w:p>
        </w:tc>
        <w:tc>
          <w:tcPr>
            <w:tcW w:w="846" w:type="dxa"/>
            <w:tcBorders>
              <w:top w:val="single" w:sz="8" w:space="0" w:color="CF7B79"/>
              <w:left w:val="nil"/>
              <w:bottom w:val="single" w:sz="8" w:space="0" w:color="CF7B79"/>
              <w:right w:val="single" w:sz="8" w:space="0" w:color="CF7B79"/>
            </w:tcBorders>
            <w:shd w:val="clear" w:color="auto" w:fill="auto"/>
            <w:noWrap/>
            <w:vAlign w:val="center"/>
          </w:tcPr>
          <w:p w14:paraId="3EA7904F"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1,2</w:t>
            </w:r>
          </w:p>
        </w:tc>
      </w:tr>
      <w:tr w:rsidR="006F2701" w:rsidRPr="00976B5F" w14:paraId="62D5E9C9" w14:textId="77777777" w:rsidTr="00D166A0">
        <w:trPr>
          <w:trHeight w:val="295"/>
        </w:trPr>
        <w:tc>
          <w:tcPr>
            <w:tcW w:w="1112" w:type="dxa"/>
            <w:tcBorders>
              <w:top w:val="nil"/>
              <w:left w:val="single" w:sz="8" w:space="0" w:color="CF7B79"/>
              <w:bottom w:val="single" w:sz="8" w:space="0" w:color="CF7B79"/>
              <w:right w:val="nil"/>
            </w:tcBorders>
            <w:shd w:val="clear" w:color="000000" w:fill="EFD3D2"/>
            <w:noWrap/>
            <w:vAlign w:val="center"/>
            <w:hideMark/>
          </w:tcPr>
          <w:p w14:paraId="71AC9BBD" w14:textId="77777777" w:rsidR="006F2701" w:rsidRPr="00976B5F" w:rsidRDefault="006F2701" w:rsidP="00976B5F">
            <w:pPr>
              <w:rPr>
                <w:rFonts w:ascii="Arial Narrow" w:hAnsi="Arial Narrow"/>
                <w:b/>
                <w:bCs/>
                <w:color w:val="000000"/>
                <w:spacing w:val="0"/>
                <w:sz w:val="16"/>
                <w:szCs w:val="16"/>
                <w:lang w:eastAsia="sq-AL"/>
              </w:rPr>
            </w:pPr>
            <w:r w:rsidRPr="00976B5F">
              <w:rPr>
                <w:rFonts w:ascii="Arial Narrow" w:hAnsi="Arial Narrow"/>
                <w:b/>
                <w:bCs/>
                <w:color w:val="000000"/>
                <w:spacing w:val="0"/>
                <w:sz w:val="16"/>
                <w:szCs w:val="16"/>
                <w:lang w:eastAsia="sq-AL"/>
              </w:rPr>
              <w:t>473</w:t>
            </w:r>
          </w:p>
        </w:tc>
        <w:tc>
          <w:tcPr>
            <w:tcW w:w="3673" w:type="dxa"/>
            <w:tcBorders>
              <w:top w:val="nil"/>
              <w:left w:val="nil"/>
              <w:bottom w:val="single" w:sz="8" w:space="0" w:color="CF7B79"/>
              <w:right w:val="nil"/>
            </w:tcBorders>
            <w:shd w:val="clear" w:color="000000" w:fill="EFD3D2"/>
            <w:vAlign w:val="center"/>
            <w:hideMark/>
          </w:tcPr>
          <w:p w14:paraId="05DF82D9" w14:textId="77777777" w:rsidR="006F2701" w:rsidRPr="00976B5F" w:rsidRDefault="006F2701" w:rsidP="006F2701">
            <w:pPr>
              <w:rPr>
                <w:rFonts w:ascii="Arial Narrow" w:hAnsi="Arial Narrow"/>
                <w:b/>
                <w:bCs/>
                <w:spacing w:val="0"/>
                <w:sz w:val="16"/>
                <w:szCs w:val="16"/>
                <w:lang w:eastAsia="sq-AL"/>
              </w:rPr>
            </w:pPr>
            <w:r w:rsidRPr="00976B5F">
              <w:rPr>
                <w:rFonts w:ascii="Arial Narrow" w:hAnsi="Arial Narrow"/>
                <w:b/>
                <w:spacing w:val="0"/>
                <w:sz w:val="16"/>
                <w:szCs w:val="16"/>
                <w:lang w:eastAsia="sq-AL"/>
              </w:rPr>
              <w:t xml:space="preserve">Retail sale of </w:t>
            </w:r>
            <w:r w:rsidR="00976B5F" w:rsidRPr="00976B5F">
              <w:rPr>
                <w:rFonts w:ascii="Arial Narrow" w:hAnsi="Arial Narrow"/>
                <w:b/>
                <w:spacing w:val="0"/>
                <w:sz w:val="16"/>
                <w:szCs w:val="16"/>
                <w:lang w:eastAsia="sq-AL"/>
              </w:rPr>
              <w:t>motor fuel</w:t>
            </w:r>
            <w:r w:rsidRPr="00976B5F">
              <w:rPr>
                <w:rFonts w:ascii="Arial Narrow" w:hAnsi="Arial Narrow"/>
                <w:b/>
                <w:spacing w:val="0"/>
                <w:sz w:val="16"/>
                <w:szCs w:val="16"/>
                <w:lang w:eastAsia="sq-AL"/>
              </w:rPr>
              <w:t xml:space="preserve">  </w:t>
            </w:r>
          </w:p>
        </w:tc>
        <w:tc>
          <w:tcPr>
            <w:tcW w:w="924" w:type="dxa"/>
            <w:gridSpan w:val="2"/>
            <w:tcBorders>
              <w:top w:val="single" w:sz="8" w:space="0" w:color="CF7B79"/>
              <w:left w:val="nil"/>
              <w:bottom w:val="single" w:sz="8" w:space="0" w:color="CF7B79"/>
              <w:right w:val="nil"/>
            </w:tcBorders>
            <w:shd w:val="clear" w:color="000000" w:fill="EFD3D2"/>
            <w:vAlign w:val="center"/>
          </w:tcPr>
          <w:p w14:paraId="6AAB6292"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2,3</w:t>
            </w:r>
          </w:p>
        </w:tc>
        <w:tc>
          <w:tcPr>
            <w:tcW w:w="924" w:type="dxa"/>
            <w:gridSpan w:val="2"/>
            <w:tcBorders>
              <w:top w:val="single" w:sz="8" w:space="0" w:color="CF7B79"/>
              <w:left w:val="nil"/>
              <w:bottom w:val="single" w:sz="8" w:space="0" w:color="CF7B79"/>
              <w:right w:val="nil"/>
            </w:tcBorders>
            <w:shd w:val="clear" w:color="000000" w:fill="EFD3D2"/>
            <w:noWrap/>
            <w:vAlign w:val="center"/>
          </w:tcPr>
          <w:p w14:paraId="4BF16D87"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0,4</w:t>
            </w:r>
          </w:p>
        </w:tc>
        <w:tc>
          <w:tcPr>
            <w:tcW w:w="986" w:type="dxa"/>
            <w:gridSpan w:val="3"/>
            <w:tcBorders>
              <w:top w:val="single" w:sz="8" w:space="0" w:color="CF7B79"/>
              <w:left w:val="nil"/>
              <w:bottom w:val="single" w:sz="8" w:space="0" w:color="CF7B79"/>
              <w:right w:val="nil"/>
            </w:tcBorders>
            <w:shd w:val="clear" w:color="000000" w:fill="EFD3D2"/>
            <w:noWrap/>
            <w:vAlign w:val="center"/>
          </w:tcPr>
          <w:p w14:paraId="0803C2DE"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-0,2</w:t>
            </w:r>
          </w:p>
        </w:tc>
        <w:tc>
          <w:tcPr>
            <w:tcW w:w="989" w:type="dxa"/>
            <w:tcBorders>
              <w:top w:val="single" w:sz="8" w:space="0" w:color="CF7B79"/>
              <w:left w:val="nil"/>
              <w:bottom w:val="single" w:sz="8" w:space="0" w:color="CF7B79"/>
              <w:right w:val="nil"/>
            </w:tcBorders>
            <w:shd w:val="clear" w:color="000000" w:fill="EFD3D2"/>
            <w:noWrap/>
            <w:vAlign w:val="center"/>
          </w:tcPr>
          <w:p w14:paraId="13576491"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-0,2</w:t>
            </w:r>
          </w:p>
        </w:tc>
        <w:tc>
          <w:tcPr>
            <w:tcW w:w="846" w:type="dxa"/>
            <w:tcBorders>
              <w:top w:val="single" w:sz="8" w:space="0" w:color="CF7B79"/>
              <w:left w:val="nil"/>
              <w:bottom w:val="single" w:sz="8" w:space="0" w:color="CF7B79"/>
              <w:right w:val="single" w:sz="8" w:space="0" w:color="CF7B79"/>
            </w:tcBorders>
            <w:shd w:val="clear" w:color="000000" w:fill="EFD3D2"/>
            <w:noWrap/>
            <w:vAlign w:val="center"/>
          </w:tcPr>
          <w:p w14:paraId="1AB9BEB5" w14:textId="77777777" w:rsidR="006F2701" w:rsidRPr="00976B5F" w:rsidRDefault="006F2701" w:rsidP="00976B5F">
            <w:pPr>
              <w:autoSpaceDE w:val="0"/>
              <w:autoSpaceDN w:val="0"/>
              <w:adjustRightInd w:val="0"/>
              <w:jc w:val="right"/>
              <w:rPr>
                <w:rFonts w:ascii="Arial Narrow" w:hAnsi="Arial Narrow"/>
                <w:b/>
                <w:bCs/>
                <w:color w:val="000000"/>
                <w:spacing w:val="0"/>
                <w:sz w:val="16"/>
                <w:szCs w:val="16"/>
              </w:rPr>
            </w:pPr>
            <w:r w:rsidRPr="00976B5F">
              <w:rPr>
                <w:rFonts w:ascii="Arial Narrow" w:hAnsi="Arial Narrow"/>
                <w:b/>
                <w:bCs/>
                <w:color w:val="000000"/>
                <w:spacing w:val="0"/>
                <w:sz w:val="16"/>
                <w:szCs w:val="16"/>
              </w:rPr>
              <w:t>4,8</w:t>
            </w:r>
          </w:p>
        </w:tc>
      </w:tr>
    </w:tbl>
    <w:p w14:paraId="4376C186" w14:textId="77777777" w:rsidR="00976B5F" w:rsidRPr="00976B5F" w:rsidRDefault="00762323" w:rsidP="00976B5F">
      <w:pPr>
        <w:pStyle w:val="BodyText"/>
        <w:ind w:left="0" w:firstLine="0"/>
        <w:rPr>
          <w:rFonts w:asciiTheme="majorHAnsi" w:hAnsiTheme="majorHAnsi" w:cstheme="minorHAnsi"/>
          <w:b/>
          <w:color w:val="7F7F7F" w:themeColor="text1" w:themeTint="80"/>
          <w:spacing w:val="-20"/>
          <w:kern w:val="28"/>
          <w:sz w:val="10"/>
          <w:szCs w:val="18"/>
        </w:rPr>
      </w:pPr>
      <w:r>
        <w:rPr>
          <w:rFonts w:asciiTheme="majorHAnsi" w:hAnsiTheme="majorHAnsi" w:cstheme="minorHAnsi"/>
          <w:b/>
          <w:color w:val="7F7F7F" w:themeColor="text1" w:themeTint="80"/>
          <w:spacing w:val="-20"/>
          <w:kern w:val="28"/>
          <w:sz w:val="18"/>
          <w:szCs w:val="18"/>
        </w:rPr>
        <w:t xml:space="preserve">     </w:t>
      </w:r>
    </w:p>
    <w:p w14:paraId="3DEB1509" w14:textId="77777777" w:rsidR="00762323" w:rsidRPr="00762323" w:rsidRDefault="006B207D" w:rsidP="00976B5F">
      <w:pPr>
        <w:pStyle w:val="BodyText"/>
        <w:ind w:left="0" w:firstLine="0"/>
        <w:rPr>
          <w:rFonts w:asciiTheme="majorHAnsi" w:hAnsiTheme="majorHAnsi" w:cstheme="minorHAnsi"/>
          <w:b/>
          <w:color w:val="7F7F7F" w:themeColor="text1" w:themeTint="80"/>
          <w:spacing w:val="-20"/>
          <w:kern w:val="28"/>
          <w:sz w:val="18"/>
          <w:szCs w:val="18"/>
        </w:rPr>
      </w:pPr>
      <w:r>
        <w:rPr>
          <w:rFonts w:asciiTheme="majorHAnsi" w:hAnsiTheme="majorHAnsi" w:cstheme="minorHAnsi"/>
          <w:b/>
          <w:color w:val="7F7F7F" w:themeColor="text1" w:themeTint="80"/>
          <w:spacing w:val="-20"/>
          <w:kern w:val="28"/>
          <w:sz w:val="18"/>
          <w:szCs w:val="18"/>
        </w:rPr>
        <w:t xml:space="preserve">           </w:t>
      </w:r>
      <w:r w:rsidR="00762323" w:rsidRPr="00976B5F">
        <w:rPr>
          <w:rFonts w:asciiTheme="majorHAnsi" w:hAnsiTheme="majorHAnsi" w:cstheme="minorHAnsi"/>
          <w:b/>
          <w:color w:val="7F7F7F" w:themeColor="text1" w:themeTint="80"/>
          <w:spacing w:val="-20"/>
          <w:kern w:val="28"/>
          <w:szCs w:val="18"/>
        </w:rPr>
        <w:t>Tab. 3 Annual monthly change on Retail Trade and Retail Sale of motor fuel seasonally unadjusted</w:t>
      </w:r>
    </w:p>
    <w:tbl>
      <w:tblPr>
        <w:tblW w:w="9456" w:type="dxa"/>
        <w:tblInd w:w="558" w:type="dxa"/>
        <w:tblLayout w:type="fixed"/>
        <w:tblLook w:val="04A0" w:firstRow="1" w:lastRow="0" w:firstColumn="1" w:lastColumn="0" w:noHBand="0" w:noVBand="1"/>
      </w:tblPr>
      <w:tblGrid>
        <w:gridCol w:w="1114"/>
        <w:gridCol w:w="2066"/>
        <w:gridCol w:w="1741"/>
        <w:gridCol w:w="421"/>
        <w:gridCol w:w="1114"/>
        <w:gridCol w:w="285"/>
        <w:gridCol w:w="703"/>
        <w:gridCol w:w="701"/>
        <w:gridCol w:w="141"/>
        <w:gridCol w:w="146"/>
        <w:gridCol w:w="1024"/>
      </w:tblGrid>
      <w:tr w:rsidR="00A30BB5" w:rsidRPr="00976B5F" w14:paraId="62E83B64" w14:textId="77777777" w:rsidTr="00D166A0">
        <w:trPr>
          <w:trHeight w:val="70"/>
        </w:trPr>
        <w:tc>
          <w:tcPr>
            <w:tcW w:w="1114" w:type="dxa"/>
            <w:tcBorders>
              <w:top w:val="nil"/>
              <w:left w:val="nil"/>
              <w:bottom w:val="single" w:sz="8" w:space="0" w:color="CF7B79"/>
              <w:right w:val="nil"/>
            </w:tcBorders>
            <w:shd w:val="clear" w:color="auto" w:fill="auto"/>
            <w:noWrap/>
            <w:vAlign w:val="bottom"/>
            <w:hideMark/>
          </w:tcPr>
          <w:p w14:paraId="7E92CE8F" w14:textId="77777777" w:rsidR="00A30BB5" w:rsidRPr="00976B5F" w:rsidRDefault="00A30BB5" w:rsidP="00DC6D10">
            <w:pPr>
              <w:rPr>
                <w:rFonts w:ascii="Arial Narrow" w:hAnsi="Arial Narrow" w:cs="Arial"/>
                <w:color w:val="000000"/>
                <w:spacing w:val="0"/>
                <w:sz w:val="16"/>
                <w:szCs w:val="16"/>
              </w:rPr>
            </w:pPr>
          </w:p>
        </w:tc>
        <w:tc>
          <w:tcPr>
            <w:tcW w:w="2066" w:type="dxa"/>
            <w:tcBorders>
              <w:top w:val="nil"/>
              <w:left w:val="nil"/>
              <w:bottom w:val="single" w:sz="8" w:space="0" w:color="CF7B79"/>
              <w:right w:val="nil"/>
            </w:tcBorders>
            <w:shd w:val="clear" w:color="auto" w:fill="auto"/>
            <w:noWrap/>
            <w:vAlign w:val="bottom"/>
            <w:hideMark/>
          </w:tcPr>
          <w:p w14:paraId="610B516A" w14:textId="77777777" w:rsidR="00A30BB5" w:rsidRPr="00976B5F" w:rsidRDefault="00A30BB5" w:rsidP="00DC6D10">
            <w:pPr>
              <w:rPr>
                <w:rFonts w:ascii="Arial Narrow" w:hAnsi="Arial Narrow" w:cs="Arial"/>
                <w:color w:val="000000"/>
                <w:spacing w:val="0"/>
                <w:sz w:val="22"/>
                <w:szCs w:val="22"/>
              </w:rPr>
            </w:pPr>
          </w:p>
        </w:tc>
        <w:tc>
          <w:tcPr>
            <w:tcW w:w="1741" w:type="dxa"/>
            <w:tcBorders>
              <w:top w:val="nil"/>
              <w:left w:val="nil"/>
              <w:bottom w:val="single" w:sz="8" w:space="0" w:color="CF7B79"/>
              <w:right w:val="nil"/>
            </w:tcBorders>
            <w:shd w:val="clear" w:color="auto" w:fill="auto"/>
            <w:noWrap/>
            <w:vAlign w:val="bottom"/>
            <w:hideMark/>
          </w:tcPr>
          <w:p w14:paraId="0A3F26F4" w14:textId="77777777" w:rsidR="00A30BB5" w:rsidRPr="00976B5F" w:rsidRDefault="00A30BB5" w:rsidP="00DC6D10">
            <w:pPr>
              <w:rPr>
                <w:rFonts w:ascii="Arial Narrow" w:hAnsi="Arial Narrow" w:cs="Arial"/>
                <w:color w:val="000000"/>
                <w:spacing w:val="0"/>
                <w:sz w:val="22"/>
                <w:szCs w:val="22"/>
              </w:rPr>
            </w:pPr>
          </w:p>
        </w:tc>
        <w:tc>
          <w:tcPr>
            <w:tcW w:w="1535" w:type="dxa"/>
            <w:gridSpan w:val="2"/>
            <w:tcBorders>
              <w:top w:val="nil"/>
              <w:left w:val="nil"/>
              <w:bottom w:val="single" w:sz="8" w:space="0" w:color="CF7B79"/>
              <w:right w:val="nil"/>
            </w:tcBorders>
            <w:shd w:val="clear" w:color="auto" w:fill="auto"/>
            <w:vAlign w:val="bottom"/>
            <w:hideMark/>
          </w:tcPr>
          <w:p w14:paraId="33C61125" w14:textId="77777777" w:rsidR="00A30BB5" w:rsidRPr="00976B5F" w:rsidRDefault="00A30BB5" w:rsidP="00DC6D10">
            <w:pPr>
              <w:jc w:val="right"/>
              <w:rPr>
                <w:rFonts w:ascii="Arial Narrow" w:hAnsi="Arial Narrow" w:cs="Arial"/>
                <w:color w:val="000000"/>
                <w:spacing w:val="0"/>
                <w:sz w:val="16"/>
                <w:szCs w:val="16"/>
              </w:rPr>
            </w:pPr>
          </w:p>
        </w:tc>
        <w:tc>
          <w:tcPr>
            <w:tcW w:w="988" w:type="dxa"/>
            <w:gridSpan w:val="2"/>
            <w:tcBorders>
              <w:top w:val="nil"/>
              <w:left w:val="nil"/>
              <w:bottom w:val="single" w:sz="8" w:space="0" w:color="CF7B79"/>
              <w:right w:val="nil"/>
            </w:tcBorders>
            <w:shd w:val="clear" w:color="auto" w:fill="auto"/>
            <w:vAlign w:val="bottom"/>
            <w:hideMark/>
          </w:tcPr>
          <w:p w14:paraId="508C7C40" w14:textId="77777777" w:rsidR="00A30BB5" w:rsidRPr="00976B5F" w:rsidRDefault="00A30BB5" w:rsidP="00DC6D10">
            <w:pPr>
              <w:jc w:val="right"/>
              <w:rPr>
                <w:rFonts w:ascii="Arial Narrow" w:hAnsi="Arial Narrow" w:cs="Arial"/>
                <w:color w:val="000000"/>
                <w:spacing w:val="0"/>
                <w:sz w:val="16"/>
                <w:szCs w:val="16"/>
              </w:rPr>
            </w:pPr>
            <w:r w:rsidRPr="00976B5F">
              <w:rPr>
                <w:rFonts w:ascii="Arial Narrow" w:hAnsi="Arial Narrow" w:cs="Arial"/>
                <w:color w:val="000000"/>
                <w:spacing w:val="0"/>
                <w:sz w:val="16"/>
                <w:szCs w:val="16"/>
              </w:rPr>
              <w:t> </w:t>
            </w:r>
          </w:p>
        </w:tc>
        <w:tc>
          <w:tcPr>
            <w:tcW w:w="988" w:type="dxa"/>
            <w:gridSpan w:val="3"/>
            <w:tcBorders>
              <w:top w:val="nil"/>
              <w:left w:val="nil"/>
              <w:bottom w:val="single" w:sz="8" w:space="0" w:color="CF7B79"/>
              <w:right w:val="nil"/>
            </w:tcBorders>
            <w:shd w:val="clear" w:color="auto" w:fill="auto"/>
            <w:vAlign w:val="bottom"/>
            <w:hideMark/>
          </w:tcPr>
          <w:p w14:paraId="38878BDA" w14:textId="77777777" w:rsidR="00A30BB5" w:rsidRPr="00976B5F" w:rsidRDefault="00A30BB5" w:rsidP="00DC6D10">
            <w:pPr>
              <w:jc w:val="right"/>
              <w:rPr>
                <w:rFonts w:ascii="Arial Narrow" w:hAnsi="Arial Narrow" w:cs="Arial"/>
                <w:color w:val="000000"/>
                <w:spacing w:val="0"/>
                <w:sz w:val="16"/>
                <w:szCs w:val="16"/>
              </w:rPr>
            </w:pPr>
            <w:r w:rsidRPr="00976B5F">
              <w:rPr>
                <w:rFonts w:ascii="Arial Narrow" w:hAnsi="Arial Narrow" w:cs="Arial"/>
                <w:color w:val="000000"/>
                <w:spacing w:val="0"/>
                <w:sz w:val="16"/>
                <w:szCs w:val="16"/>
              </w:rPr>
              <w:t> </w:t>
            </w:r>
          </w:p>
        </w:tc>
        <w:tc>
          <w:tcPr>
            <w:tcW w:w="1024" w:type="dxa"/>
            <w:tcBorders>
              <w:top w:val="nil"/>
              <w:left w:val="nil"/>
              <w:bottom w:val="single" w:sz="8" w:space="0" w:color="CF7B79"/>
              <w:right w:val="nil"/>
            </w:tcBorders>
            <w:shd w:val="clear" w:color="auto" w:fill="auto"/>
            <w:vAlign w:val="bottom"/>
            <w:hideMark/>
          </w:tcPr>
          <w:p w14:paraId="430CF38D" w14:textId="77777777" w:rsidR="00A30BB5" w:rsidRPr="00976B5F" w:rsidRDefault="00A30BB5" w:rsidP="00DC6D10">
            <w:pPr>
              <w:jc w:val="right"/>
              <w:rPr>
                <w:rFonts w:ascii="Arial Narrow" w:hAnsi="Arial Narrow" w:cs="Arial"/>
                <w:color w:val="000000"/>
                <w:spacing w:val="0"/>
                <w:sz w:val="16"/>
                <w:szCs w:val="16"/>
              </w:rPr>
            </w:pPr>
            <w:r w:rsidRPr="00976B5F">
              <w:rPr>
                <w:rFonts w:ascii="Arial Narrow" w:hAnsi="Arial Narrow" w:cs="Arial"/>
                <w:color w:val="000000"/>
                <w:spacing w:val="0"/>
                <w:sz w:val="16"/>
                <w:szCs w:val="16"/>
              </w:rPr>
              <w:t>% </w:t>
            </w:r>
          </w:p>
        </w:tc>
      </w:tr>
      <w:tr w:rsidR="001F2B19" w:rsidRPr="00976B5F" w14:paraId="10B8AA80" w14:textId="77777777" w:rsidTr="00D166A0">
        <w:trPr>
          <w:trHeight w:val="286"/>
        </w:trPr>
        <w:tc>
          <w:tcPr>
            <w:tcW w:w="1114" w:type="dxa"/>
            <w:tcBorders>
              <w:top w:val="single" w:sz="8" w:space="0" w:color="CF7B79"/>
              <w:left w:val="single" w:sz="8" w:space="0" w:color="CF7B79"/>
              <w:right w:val="nil"/>
            </w:tcBorders>
            <w:shd w:val="clear" w:color="000000" w:fill="C0504D"/>
            <w:noWrap/>
            <w:vAlign w:val="center"/>
            <w:hideMark/>
          </w:tcPr>
          <w:p w14:paraId="023B5D00" w14:textId="77777777" w:rsidR="001F2B19" w:rsidRPr="00976B5F" w:rsidRDefault="001F2B19" w:rsidP="00976B5F">
            <w:pPr>
              <w:rPr>
                <w:rFonts w:ascii="Arial Narrow" w:hAnsi="Arial Narrow"/>
                <w:b/>
                <w:bCs/>
                <w:color w:val="FFFFFF"/>
                <w:spacing w:val="0"/>
                <w:sz w:val="16"/>
                <w:szCs w:val="16"/>
                <w:lang w:eastAsia="sq-AL"/>
              </w:rPr>
            </w:pPr>
            <w:r w:rsidRPr="00976B5F">
              <w:rPr>
                <w:rFonts w:ascii="Arial Narrow" w:hAnsi="Arial Narrow"/>
                <w:b/>
                <w:bCs/>
                <w:color w:val="FFFFFF"/>
                <w:spacing w:val="0"/>
                <w:sz w:val="16"/>
                <w:szCs w:val="16"/>
                <w:lang w:eastAsia="sq-AL"/>
              </w:rPr>
              <w:t>NACE</w:t>
            </w:r>
          </w:p>
        </w:tc>
        <w:tc>
          <w:tcPr>
            <w:tcW w:w="4228" w:type="dxa"/>
            <w:gridSpan w:val="3"/>
            <w:tcBorders>
              <w:top w:val="single" w:sz="8" w:space="0" w:color="CF7B79"/>
              <w:left w:val="nil"/>
              <w:right w:val="nil"/>
            </w:tcBorders>
            <w:shd w:val="clear" w:color="000000" w:fill="C0504D"/>
            <w:vAlign w:val="center"/>
            <w:hideMark/>
          </w:tcPr>
          <w:p w14:paraId="3A6B6B2B" w14:textId="77777777" w:rsidR="001F2B19" w:rsidRPr="00976B5F" w:rsidRDefault="001F2B19" w:rsidP="00976B5F">
            <w:pPr>
              <w:rPr>
                <w:rFonts w:ascii="Arial Narrow" w:hAnsi="Arial Narrow"/>
                <w:b/>
                <w:color w:val="FFFFFF"/>
                <w:spacing w:val="0"/>
                <w:sz w:val="16"/>
                <w:szCs w:val="16"/>
                <w:lang w:eastAsia="sq-AL"/>
              </w:rPr>
            </w:pPr>
            <w:r w:rsidRPr="00976B5F">
              <w:rPr>
                <w:rFonts w:ascii="Arial Narrow" w:hAnsi="Arial Narrow"/>
                <w:b/>
                <w:color w:val="FFFFFF"/>
                <w:spacing w:val="0"/>
                <w:sz w:val="16"/>
                <w:szCs w:val="16"/>
                <w:lang w:eastAsia="sq-AL"/>
              </w:rPr>
              <w:t>Economic activity</w:t>
            </w:r>
          </w:p>
        </w:tc>
        <w:tc>
          <w:tcPr>
            <w:tcW w:w="1399" w:type="dxa"/>
            <w:gridSpan w:val="2"/>
            <w:tcBorders>
              <w:top w:val="single" w:sz="8" w:space="0" w:color="CF7B79"/>
            </w:tcBorders>
            <w:shd w:val="clear" w:color="000000" w:fill="C0504D"/>
            <w:noWrap/>
            <w:vAlign w:val="center"/>
          </w:tcPr>
          <w:p w14:paraId="45FB23DE" w14:textId="77777777" w:rsidR="001F2B19" w:rsidRPr="00976B5F" w:rsidRDefault="001F2B19" w:rsidP="00976B5F">
            <w:pPr>
              <w:autoSpaceDE w:val="0"/>
              <w:autoSpaceDN w:val="0"/>
              <w:adjustRightInd w:val="0"/>
              <w:jc w:val="right"/>
              <w:rPr>
                <w:rFonts w:ascii="Arial Narrow" w:hAnsi="Arial Narrow" w:cs="Arial"/>
                <w:b/>
                <w:color w:val="FFFFFF"/>
                <w:spacing w:val="0"/>
                <w:sz w:val="16"/>
                <w:szCs w:val="16"/>
              </w:rPr>
            </w:pPr>
            <w:r w:rsidRPr="00976B5F">
              <w:rPr>
                <w:rFonts w:ascii="Arial Narrow" w:hAnsi="Arial Narrow" w:cs="Arial"/>
                <w:b/>
                <w:color w:val="FFFFFF"/>
                <w:spacing w:val="0"/>
                <w:sz w:val="16"/>
                <w:szCs w:val="16"/>
              </w:rPr>
              <w:t>04-24 / 04-23</w:t>
            </w:r>
          </w:p>
        </w:tc>
        <w:tc>
          <w:tcPr>
            <w:tcW w:w="1404" w:type="dxa"/>
            <w:gridSpan w:val="2"/>
            <w:tcBorders>
              <w:top w:val="single" w:sz="8" w:space="0" w:color="CF7B79"/>
            </w:tcBorders>
            <w:shd w:val="clear" w:color="000000" w:fill="C0504D"/>
            <w:noWrap/>
            <w:vAlign w:val="center"/>
          </w:tcPr>
          <w:p w14:paraId="4E9BE4EC" w14:textId="77777777" w:rsidR="001F2B19" w:rsidRPr="00976B5F" w:rsidRDefault="001F2B19" w:rsidP="00976B5F">
            <w:pPr>
              <w:autoSpaceDE w:val="0"/>
              <w:autoSpaceDN w:val="0"/>
              <w:adjustRightInd w:val="0"/>
              <w:jc w:val="right"/>
              <w:rPr>
                <w:rFonts w:ascii="Arial Narrow" w:hAnsi="Arial Narrow" w:cs="Arial"/>
                <w:b/>
                <w:color w:val="FFFFFF"/>
                <w:spacing w:val="0"/>
                <w:sz w:val="16"/>
                <w:szCs w:val="16"/>
              </w:rPr>
            </w:pPr>
            <w:r w:rsidRPr="00976B5F">
              <w:rPr>
                <w:rFonts w:ascii="Arial Narrow" w:hAnsi="Arial Narrow" w:cs="Arial"/>
                <w:b/>
                <w:color w:val="FFFFFF"/>
                <w:spacing w:val="0"/>
                <w:sz w:val="16"/>
                <w:szCs w:val="16"/>
              </w:rPr>
              <w:t>05-24 / 05-23</w:t>
            </w:r>
          </w:p>
        </w:tc>
        <w:tc>
          <w:tcPr>
            <w:tcW w:w="1311" w:type="dxa"/>
            <w:gridSpan w:val="3"/>
            <w:tcBorders>
              <w:top w:val="single" w:sz="8" w:space="0" w:color="CF7B79"/>
            </w:tcBorders>
            <w:shd w:val="clear" w:color="000000" w:fill="C0504D"/>
            <w:noWrap/>
            <w:vAlign w:val="center"/>
          </w:tcPr>
          <w:p w14:paraId="4DAA1371" w14:textId="77777777" w:rsidR="001F2B19" w:rsidRPr="00976B5F" w:rsidRDefault="001F2B19" w:rsidP="00976B5F">
            <w:pPr>
              <w:autoSpaceDE w:val="0"/>
              <w:autoSpaceDN w:val="0"/>
              <w:adjustRightInd w:val="0"/>
              <w:jc w:val="right"/>
              <w:rPr>
                <w:rFonts w:ascii="Arial Narrow" w:hAnsi="Arial Narrow" w:cs="Arial"/>
                <w:b/>
                <w:color w:val="FFFFFF"/>
                <w:spacing w:val="0"/>
                <w:sz w:val="16"/>
                <w:szCs w:val="16"/>
              </w:rPr>
            </w:pPr>
            <w:r w:rsidRPr="00976B5F">
              <w:rPr>
                <w:rFonts w:ascii="Arial Narrow" w:hAnsi="Arial Narrow" w:cs="Arial"/>
                <w:b/>
                <w:color w:val="FFFFFF"/>
                <w:spacing w:val="0"/>
                <w:sz w:val="16"/>
                <w:szCs w:val="16"/>
              </w:rPr>
              <w:t>06-24 / 06-23</w:t>
            </w:r>
          </w:p>
        </w:tc>
      </w:tr>
      <w:tr w:rsidR="001F2B19" w:rsidRPr="00976B5F" w14:paraId="50636A64" w14:textId="77777777" w:rsidTr="00D166A0">
        <w:trPr>
          <w:trHeight w:val="265"/>
        </w:trPr>
        <w:tc>
          <w:tcPr>
            <w:tcW w:w="1114" w:type="dxa"/>
            <w:tcBorders>
              <w:left w:val="single" w:sz="8" w:space="0" w:color="CF7B79"/>
              <w:bottom w:val="single" w:sz="8" w:space="0" w:color="CF7B79"/>
              <w:right w:val="nil"/>
            </w:tcBorders>
            <w:shd w:val="clear" w:color="000000" w:fill="EFD3D2"/>
            <w:noWrap/>
            <w:vAlign w:val="center"/>
            <w:hideMark/>
          </w:tcPr>
          <w:p w14:paraId="177198D0" w14:textId="77777777" w:rsidR="001F2B19" w:rsidRPr="00976B5F" w:rsidRDefault="001F2B19" w:rsidP="00976B5F">
            <w:pPr>
              <w:rPr>
                <w:rFonts w:ascii="Arial Narrow" w:hAnsi="Arial Narrow"/>
                <w:b/>
                <w:bCs/>
                <w:color w:val="000000"/>
                <w:spacing w:val="0"/>
                <w:sz w:val="16"/>
                <w:szCs w:val="16"/>
                <w:lang w:eastAsia="sq-AL"/>
              </w:rPr>
            </w:pPr>
            <w:r w:rsidRPr="00976B5F">
              <w:rPr>
                <w:rFonts w:ascii="Arial Narrow" w:hAnsi="Arial Narrow"/>
                <w:b/>
                <w:bCs/>
                <w:color w:val="000000"/>
                <w:spacing w:val="0"/>
                <w:sz w:val="16"/>
                <w:szCs w:val="16"/>
                <w:lang w:eastAsia="sq-AL"/>
              </w:rPr>
              <w:t>47</w:t>
            </w:r>
          </w:p>
        </w:tc>
        <w:tc>
          <w:tcPr>
            <w:tcW w:w="4228" w:type="dxa"/>
            <w:gridSpan w:val="3"/>
            <w:tcBorders>
              <w:left w:val="nil"/>
              <w:bottom w:val="single" w:sz="8" w:space="0" w:color="CF7B79"/>
              <w:right w:val="nil"/>
            </w:tcBorders>
            <w:shd w:val="clear" w:color="000000" w:fill="EFD3D2"/>
            <w:vAlign w:val="center"/>
            <w:hideMark/>
          </w:tcPr>
          <w:p w14:paraId="7C0032C2" w14:textId="77777777" w:rsidR="001F2B19" w:rsidRPr="00976B5F" w:rsidRDefault="001F2B19" w:rsidP="00976B5F">
            <w:pPr>
              <w:rPr>
                <w:rFonts w:ascii="Arial Narrow" w:hAnsi="Arial Narrow"/>
                <w:b/>
                <w:bCs/>
                <w:spacing w:val="0"/>
                <w:sz w:val="16"/>
                <w:szCs w:val="16"/>
                <w:lang w:eastAsia="sq-AL"/>
              </w:rPr>
            </w:pPr>
            <w:r w:rsidRPr="00976B5F">
              <w:rPr>
                <w:rFonts w:ascii="Arial Narrow" w:hAnsi="Arial Narrow"/>
                <w:b/>
                <w:bCs/>
                <w:spacing w:val="0"/>
                <w:sz w:val="16"/>
                <w:szCs w:val="16"/>
                <w:lang w:eastAsia="sq-AL"/>
              </w:rPr>
              <w:t>Retail trade</w:t>
            </w:r>
          </w:p>
        </w:tc>
        <w:tc>
          <w:tcPr>
            <w:tcW w:w="1399" w:type="dxa"/>
            <w:gridSpan w:val="2"/>
            <w:tcBorders>
              <w:left w:val="nil"/>
              <w:bottom w:val="single" w:sz="8" w:space="0" w:color="CF7B79"/>
              <w:right w:val="nil"/>
            </w:tcBorders>
            <w:shd w:val="clear" w:color="000000" w:fill="EFD3D2"/>
            <w:noWrap/>
            <w:vAlign w:val="center"/>
          </w:tcPr>
          <w:p w14:paraId="2EA83C75"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2,0</w:t>
            </w:r>
          </w:p>
        </w:tc>
        <w:tc>
          <w:tcPr>
            <w:tcW w:w="1545" w:type="dxa"/>
            <w:gridSpan w:val="3"/>
            <w:tcBorders>
              <w:left w:val="nil"/>
              <w:bottom w:val="single" w:sz="8" w:space="0" w:color="CF7B79"/>
              <w:right w:val="nil"/>
            </w:tcBorders>
            <w:shd w:val="clear" w:color="000000" w:fill="EFD3D2"/>
            <w:noWrap/>
            <w:vAlign w:val="center"/>
          </w:tcPr>
          <w:p w14:paraId="07241146"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6,9</w:t>
            </w:r>
          </w:p>
        </w:tc>
        <w:tc>
          <w:tcPr>
            <w:tcW w:w="1170" w:type="dxa"/>
            <w:gridSpan w:val="2"/>
            <w:tcBorders>
              <w:left w:val="nil"/>
              <w:bottom w:val="single" w:sz="8" w:space="0" w:color="CF7B79"/>
              <w:right w:val="single" w:sz="8" w:space="0" w:color="CF7B79"/>
            </w:tcBorders>
            <w:shd w:val="clear" w:color="000000" w:fill="EFD3D2"/>
            <w:noWrap/>
            <w:vAlign w:val="center"/>
          </w:tcPr>
          <w:p w14:paraId="0DB769D3"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8,9</w:t>
            </w:r>
          </w:p>
        </w:tc>
      </w:tr>
      <w:tr w:rsidR="001F2B19" w:rsidRPr="00976B5F" w14:paraId="4AB1E036" w14:textId="77777777" w:rsidTr="00D166A0">
        <w:trPr>
          <w:trHeight w:val="274"/>
        </w:trPr>
        <w:tc>
          <w:tcPr>
            <w:tcW w:w="1114" w:type="dxa"/>
            <w:tcBorders>
              <w:top w:val="nil"/>
              <w:left w:val="single" w:sz="8" w:space="0" w:color="CF7B79"/>
              <w:bottom w:val="single" w:sz="8" w:space="0" w:color="CF7B79"/>
              <w:right w:val="nil"/>
            </w:tcBorders>
            <w:shd w:val="clear" w:color="000000" w:fill="EFD3D2"/>
            <w:noWrap/>
            <w:vAlign w:val="center"/>
            <w:hideMark/>
          </w:tcPr>
          <w:p w14:paraId="10F554A6" w14:textId="77777777" w:rsidR="001F2B19" w:rsidRPr="00976B5F" w:rsidRDefault="001F2B19" w:rsidP="00976B5F">
            <w:pPr>
              <w:rPr>
                <w:rFonts w:ascii="Arial Narrow" w:hAnsi="Arial Narrow"/>
                <w:b/>
                <w:bCs/>
                <w:color w:val="000000"/>
                <w:spacing w:val="0"/>
                <w:sz w:val="16"/>
                <w:szCs w:val="16"/>
                <w:lang w:eastAsia="sq-AL"/>
              </w:rPr>
            </w:pPr>
            <w:r w:rsidRPr="00976B5F">
              <w:rPr>
                <w:rFonts w:ascii="Arial Narrow" w:hAnsi="Arial Narrow"/>
                <w:b/>
                <w:bCs/>
                <w:color w:val="000000"/>
                <w:spacing w:val="0"/>
                <w:sz w:val="16"/>
                <w:szCs w:val="16"/>
                <w:lang w:eastAsia="sq-AL"/>
              </w:rPr>
              <w:t>47ex473</w:t>
            </w:r>
          </w:p>
        </w:tc>
        <w:tc>
          <w:tcPr>
            <w:tcW w:w="4228" w:type="dxa"/>
            <w:gridSpan w:val="3"/>
            <w:tcBorders>
              <w:top w:val="single" w:sz="8" w:space="0" w:color="CF7B79"/>
              <w:left w:val="nil"/>
              <w:bottom w:val="single" w:sz="8" w:space="0" w:color="CF7B79"/>
              <w:right w:val="nil"/>
            </w:tcBorders>
            <w:shd w:val="clear" w:color="000000" w:fill="EFD3D2"/>
            <w:vAlign w:val="center"/>
            <w:hideMark/>
          </w:tcPr>
          <w:p w14:paraId="2EBD215F" w14:textId="77777777" w:rsidR="001F2B19" w:rsidRPr="00976B5F" w:rsidRDefault="001F2B19" w:rsidP="00976B5F">
            <w:pPr>
              <w:rPr>
                <w:rFonts w:ascii="Arial Narrow" w:hAnsi="Arial Narrow"/>
                <w:b/>
                <w:bCs/>
                <w:spacing w:val="0"/>
                <w:sz w:val="16"/>
                <w:szCs w:val="16"/>
                <w:lang w:eastAsia="sq-AL"/>
              </w:rPr>
            </w:pPr>
            <w:r w:rsidRPr="00976B5F">
              <w:rPr>
                <w:rFonts w:ascii="Arial Narrow" w:hAnsi="Arial Narrow"/>
                <w:b/>
                <w:bCs/>
                <w:spacing w:val="0"/>
                <w:sz w:val="16"/>
                <w:szCs w:val="16"/>
                <w:lang w:eastAsia="sq-AL"/>
              </w:rPr>
              <w:t>Retail trade. except r</w:t>
            </w:r>
            <w:r w:rsidRPr="00976B5F">
              <w:rPr>
                <w:rFonts w:ascii="Arial Narrow" w:hAnsi="Arial Narrow"/>
                <w:b/>
                <w:spacing w:val="0"/>
                <w:sz w:val="16"/>
                <w:szCs w:val="16"/>
                <w:lang w:eastAsia="sq-AL"/>
              </w:rPr>
              <w:t>etail sale of automotive fuel</w:t>
            </w:r>
          </w:p>
        </w:tc>
        <w:tc>
          <w:tcPr>
            <w:tcW w:w="1399" w:type="dxa"/>
            <w:gridSpan w:val="2"/>
            <w:tcBorders>
              <w:top w:val="nil"/>
              <w:left w:val="nil"/>
              <w:bottom w:val="single" w:sz="8" w:space="0" w:color="CF7B79"/>
              <w:right w:val="nil"/>
            </w:tcBorders>
            <w:shd w:val="clear" w:color="000000" w:fill="EFD3D2"/>
            <w:noWrap/>
            <w:vAlign w:val="center"/>
          </w:tcPr>
          <w:p w14:paraId="28B614C7"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5,1</w:t>
            </w:r>
          </w:p>
        </w:tc>
        <w:tc>
          <w:tcPr>
            <w:tcW w:w="1545" w:type="dxa"/>
            <w:gridSpan w:val="3"/>
            <w:tcBorders>
              <w:top w:val="nil"/>
              <w:left w:val="nil"/>
              <w:bottom w:val="single" w:sz="8" w:space="0" w:color="CF7B79"/>
              <w:right w:val="nil"/>
            </w:tcBorders>
            <w:shd w:val="clear" w:color="000000" w:fill="EFD3D2"/>
            <w:noWrap/>
            <w:vAlign w:val="center"/>
          </w:tcPr>
          <w:p w14:paraId="6C47D2E8"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5,7</w:t>
            </w:r>
          </w:p>
        </w:tc>
        <w:tc>
          <w:tcPr>
            <w:tcW w:w="1170" w:type="dxa"/>
            <w:gridSpan w:val="2"/>
            <w:tcBorders>
              <w:top w:val="nil"/>
              <w:left w:val="nil"/>
              <w:bottom w:val="single" w:sz="8" w:space="0" w:color="CF7B79"/>
              <w:right w:val="single" w:sz="8" w:space="0" w:color="CF7B79"/>
            </w:tcBorders>
            <w:shd w:val="clear" w:color="000000" w:fill="EFD3D2"/>
            <w:noWrap/>
            <w:vAlign w:val="center"/>
          </w:tcPr>
          <w:p w14:paraId="1A730C77"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8,0</w:t>
            </w:r>
          </w:p>
        </w:tc>
      </w:tr>
      <w:tr w:rsidR="001F2B19" w:rsidRPr="00976B5F" w14:paraId="36344487" w14:textId="77777777" w:rsidTr="00D166A0">
        <w:trPr>
          <w:trHeight w:val="428"/>
        </w:trPr>
        <w:tc>
          <w:tcPr>
            <w:tcW w:w="1114" w:type="dxa"/>
            <w:tcBorders>
              <w:top w:val="nil"/>
              <w:left w:val="single" w:sz="8" w:space="0" w:color="CF7B79"/>
              <w:bottom w:val="single" w:sz="8" w:space="0" w:color="CF7B79"/>
              <w:right w:val="nil"/>
            </w:tcBorders>
            <w:shd w:val="clear" w:color="auto" w:fill="auto"/>
            <w:noWrap/>
            <w:vAlign w:val="center"/>
            <w:hideMark/>
          </w:tcPr>
          <w:p w14:paraId="24F34D30" w14:textId="77777777" w:rsidR="001F2B19" w:rsidRPr="00976B5F" w:rsidRDefault="001F2B19" w:rsidP="00976B5F">
            <w:pPr>
              <w:rPr>
                <w:rFonts w:ascii="Arial Narrow" w:hAnsi="Arial Narrow"/>
                <w:color w:val="000000"/>
                <w:spacing w:val="0"/>
                <w:sz w:val="16"/>
                <w:szCs w:val="16"/>
                <w:lang w:eastAsia="sq-AL"/>
              </w:rPr>
            </w:pPr>
            <w:r w:rsidRPr="00976B5F">
              <w:rPr>
                <w:rFonts w:ascii="Arial Narrow" w:hAnsi="Arial Narrow"/>
                <w:color w:val="000000"/>
                <w:spacing w:val="0"/>
                <w:sz w:val="16"/>
                <w:szCs w:val="16"/>
                <w:lang w:eastAsia="sq-AL"/>
              </w:rPr>
              <w:t>4711; 472</w:t>
            </w:r>
          </w:p>
        </w:tc>
        <w:tc>
          <w:tcPr>
            <w:tcW w:w="4228" w:type="dxa"/>
            <w:gridSpan w:val="3"/>
            <w:tcBorders>
              <w:top w:val="single" w:sz="8" w:space="0" w:color="CF7B79"/>
              <w:left w:val="nil"/>
              <w:bottom w:val="single" w:sz="8" w:space="0" w:color="CF7B79"/>
              <w:right w:val="nil"/>
            </w:tcBorders>
            <w:shd w:val="clear" w:color="auto" w:fill="auto"/>
            <w:vAlign w:val="center"/>
            <w:hideMark/>
          </w:tcPr>
          <w:p w14:paraId="24E4EE8D" w14:textId="77777777" w:rsidR="001F2B19" w:rsidRPr="00976B5F" w:rsidRDefault="001F2B19" w:rsidP="00976B5F">
            <w:pPr>
              <w:autoSpaceDE w:val="0"/>
              <w:autoSpaceDN w:val="0"/>
              <w:adjustRightInd w:val="0"/>
              <w:rPr>
                <w:rFonts w:ascii="Arial Narrow" w:hAnsi="Arial Narrow"/>
                <w:spacing w:val="0"/>
                <w:sz w:val="16"/>
                <w:szCs w:val="16"/>
                <w:lang w:eastAsia="sq-AL"/>
              </w:rPr>
            </w:pPr>
            <w:r w:rsidRPr="00976B5F">
              <w:rPr>
                <w:rFonts w:ascii="Arial Narrow" w:hAnsi="Arial Narrow"/>
                <w:spacing w:val="0"/>
                <w:sz w:val="16"/>
                <w:szCs w:val="16"/>
                <w:lang w:eastAsia="sq-AL"/>
              </w:rPr>
              <w:t>Food. beverages and tobacco in both specialized and non-specialized stores</w:t>
            </w:r>
          </w:p>
        </w:tc>
        <w:tc>
          <w:tcPr>
            <w:tcW w:w="1399" w:type="dxa"/>
            <w:gridSpan w:val="2"/>
            <w:tcBorders>
              <w:top w:val="nil"/>
              <w:left w:val="nil"/>
              <w:bottom w:val="single" w:sz="8" w:space="0" w:color="CF7B79"/>
              <w:right w:val="nil"/>
            </w:tcBorders>
            <w:shd w:val="clear" w:color="auto" w:fill="auto"/>
            <w:noWrap/>
            <w:vAlign w:val="center"/>
          </w:tcPr>
          <w:p w14:paraId="7DA04EF7"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4,7</w:t>
            </w:r>
          </w:p>
        </w:tc>
        <w:tc>
          <w:tcPr>
            <w:tcW w:w="1545" w:type="dxa"/>
            <w:gridSpan w:val="3"/>
            <w:tcBorders>
              <w:top w:val="nil"/>
              <w:left w:val="nil"/>
              <w:bottom w:val="single" w:sz="8" w:space="0" w:color="CF7B79"/>
              <w:right w:val="nil"/>
            </w:tcBorders>
            <w:shd w:val="clear" w:color="auto" w:fill="auto"/>
            <w:noWrap/>
            <w:vAlign w:val="center"/>
          </w:tcPr>
          <w:p w14:paraId="0A025F55"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6,4</w:t>
            </w:r>
          </w:p>
        </w:tc>
        <w:tc>
          <w:tcPr>
            <w:tcW w:w="1170" w:type="dxa"/>
            <w:gridSpan w:val="2"/>
            <w:tcBorders>
              <w:top w:val="nil"/>
              <w:left w:val="nil"/>
              <w:bottom w:val="single" w:sz="8" w:space="0" w:color="CF7B79"/>
              <w:right w:val="single" w:sz="8" w:space="0" w:color="CF7B79"/>
            </w:tcBorders>
            <w:shd w:val="clear" w:color="auto" w:fill="auto"/>
            <w:noWrap/>
            <w:vAlign w:val="center"/>
          </w:tcPr>
          <w:p w14:paraId="180FEE43"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6,4</w:t>
            </w:r>
          </w:p>
        </w:tc>
      </w:tr>
      <w:tr w:rsidR="001F2B19" w:rsidRPr="00976B5F" w14:paraId="0FAE4A1A" w14:textId="77777777" w:rsidTr="00D166A0">
        <w:trPr>
          <w:trHeight w:val="265"/>
        </w:trPr>
        <w:tc>
          <w:tcPr>
            <w:tcW w:w="1114" w:type="dxa"/>
            <w:tcBorders>
              <w:top w:val="nil"/>
              <w:left w:val="single" w:sz="8" w:space="0" w:color="CF7B79"/>
              <w:bottom w:val="single" w:sz="8" w:space="0" w:color="CF7B79"/>
              <w:right w:val="nil"/>
            </w:tcBorders>
            <w:shd w:val="clear" w:color="auto" w:fill="auto"/>
            <w:noWrap/>
            <w:vAlign w:val="center"/>
            <w:hideMark/>
          </w:tcPr>
          <w:p w14:paraId="0E35ADC3" w14:textId="77777777" w:rsidR="001F2B19" w:rsidRPr="00976B5F" w:rsidRDefault="001F2B19" w:rsidP="00976B5F">
            <w:pPr>
              <w:rPr>
                <w:rFonts w:ascii="Arial Narrow" w:hAnsi="Arial Narrow"/>
                <w:color w:val="000000"/>
                <w:spacing w:val="0"/>
                <w:sz w:val="16"/>
                <w:szCs w:val="16"/>
                <w:lang w:eastAsia="sq-AL"/>
              </w:rPr>
            </w:pPr>
            <w:r w:rsidRPr="00976B5F">
              <w:rPr>
                <w:rFonts w:ascii="Arial Narrow" w:hAnsi="Arial Narrow"/>
                <w:color w:val="000000"/>
                <w:spacing w:val="0"/>
                <w:sz w:val="16"/>
                <w:szCs w:val="16"/>
                <w:lang w:eastAsia="sq-AL"/>
              </w:rPr>
              <w:t>4719; 474-4778</w:t>
            </w:r>
          </w:p>
        </w:tc>
        <w:tc>
          <w:tcPr>
            <w:tcW w:w="4228" w:type="dxa"/>
            <w:gridSpan w:val="3"/>
            <w:tcBorders>
              <w:top w:val="single" w:sz="8" w:space="0" w:color="CF7B79"/>
              <w:left w:val="nil"/>
              <w:bottom w:val="single" w:sz="8" w:space="0" w:color="CF7B79"/>
              <w:right w:val="nil"/>
            </w:tcBorders>
            <w:shd w:val="clear" w:color="auto" w:fill="auto"/>
            <w:vAlign w:val="center"/>
            <w:hideMark/>
          </w:tcPr>
          <w:p w14:paraId="3C57C697" w14:textId="77777777" w:rsidR="001F2B19" w:rsidRPr="00976B5F" w:rsidRDefault="001F2B19" w:rsidP="00976B5F">
            <w:pPr>
              <w:autoSpaceDE w:val="0"/>
              <w:autoSpaceDN w:val="0"/>
              <w:adjustRightInd w:val="0"/>
              <w:rPr>
                <w:rFonts w:ascii="Arial Narrow" w:hAnsi="Arial Narrow"/>
                <w:spacing w:val="0"/>
                <w:sz w:val="16"/>
                <w:szCs w:val="16"/>
                <w:lang w:eastAsia="sq-AL"/>
              </w:rPr>
            </w:pPr>
            <w:r w:rsidRPr="00976B5F">
              <w:rPr>
                <w:rFonts w:ascii="Arial Narrow" w:hAnsi="Arial Narrow"/>
                <w:spacing w:val="0"/>
                <w:sz w:val="16"/>
                <w:szCs w:val="16"/>
                <w:lang w:eastAsia="sq-AL"/>
              </w:rPr>
              <w:t>Non-food Products in specialized and non specialized stores</w:t>
            </w:r>
          </w:p>
        </w:tc>
        <w:tc>
          <w:tcPr>
            <w:tcW w:w="1399" w:type="dxa"/>
            <w:gridSpan w:val="2"/>
            <w:tcBorders>
              <w:top w:val="nil"/>
              <w:left w:val="nil"/>
              <w:bottom w:val="single" w:sz="8" w:space="0" w:color="CF7B79"/>
              <w:right w:val="nil"/>
            </w:tcBorders>
            <w:shd w:val="clear" w:color="auto" w:fill="auto"/>
            <w:noWrap/>
            <w:vAlign w:val="center"/>
          </w:tcPr>
          <w:p w14:paraId="0E6A63E7"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5,3</w:t>
            </w:r>
          </w:p>
        </w:tc>
        <w:tc>
          <w:tcPr>
            <w:tcW w:w="1545" w:type="dxa"/>
            <w:gridSpan w:val="3"/>
            <w:tcBorders>
              <w:top w:val="nil"/>
              <w:left w:val="nil"/>
              <w:bottom w:val="single" w:sz="8" w:space="0" w:color="CF7B79"/>
              <w:right w:val="nil"/>
            </w:tcBorders>
            <w:shd w:val="clear" w:color="auto" w:fill="auto"/>
            <w:noWrap/>
            <w:vAlign w:val="center"/>
          </w:tcPr>
          <w:p w14:paraId="22874E9D"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5,9</w:t>
            </w:r>
          </w:p>
        </w:tc>
        <w:tc>
          <w:tcPr>
            <w:tcW w:w="1170" w:type="dxa"/>
            <w:gridSpan w:val="2"/>
            <w:tcBorders>
              <w:top w:val="nil"/>
              <w:left w:val="nil"/>
              <w:bottom w:val="single" w:sz="8" w:space="0" w:color="CF7B79"/>
              <w:right w:val="single" w:sz="8" w:space="0" w:color="CF7B79"/>
            </w:tcBorders>
            <w:shd w:val="clear" w:color="auto" w:fill="auto"/>
            <w:noWrap/>
            <w:vAlign w:val="center"/>
          </w:tcPr>
          <w:p w14:paraId="3BDFB1A1"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9,4</w:t>
            </w:r>
          </w:p>
        </w:tc>
      </w:tr>
      <w:tr w:rsidR="001F2B19" w:rsidRPr="00976B5F" w14:paraId="167010C8" w14:textId="77777777" w:rsidTr="00D166A0">
        <w:trPr>
          <w:trHeight w:val="265"/>
        </w:trPr>
        <w:tc>
          <w:tcPr>
            <w:tcW w:w="1114" w:type="dxa"/>
            <w:tcBorders>
              <w:top w:val="nil"/>
              <w:left w:val="single" w:sz="8" w:space="0" w:color="CF7B79"/>
              <w:bottom w:val="single" w:sz="8" w:space="0" w:color="CF7B79"/>
              <w:right w:val="nil"/>
            </w:tcBorders>
            <w:shd w:val="clear" w:color="000000" w:fill="EFD3D2"/>
            <w:noWrap/>
            <w:vAlign w:val="center"/>
            <w:hideMark/>
          </w:tcPr>
          <w:p w14:paraId="2C5D8E67" w14:textId="77777777" w:rsidR="001F2B19" w:rsidRPr="00976B5F" w:rsidRDefault="001F2B19" w:rsidP="00976B5F">
            <w:pPr>
              <w:rPr>
                <w:rFonts w:ascii="Arial Narrow" w:hAnsi="Arial Narrow"/>
                <w:b/>
                <w:bCs/>
                <w:color w:val="000000"/>
                <w:spacing w:val="0"/>
                <w:sz w:val="16"/>
                <w:szCs w:val="16"/>
                <w:lang w:eastAsia="sq-AL"/>
              </w:rPr>
            </w:pPr>
            <w:r w:rsidRPr="00976B5F">
              <w:rPr>
                <w:rFonts w:ascii="Arial Narrow" w:hAnsi="Arial Narrow"/>
                <w:b/>
                <w:bCs/>
                <w:color w:val="000000"/>
                <w:spacing w:val="0"/>
                <w:sz w:val="16"/>
                <w:szCs w:val="16"/>
                <w:lang w:eastAsia="sq-AL"/>
              </w:rPr>
              <w:t>473</w:t>
            </w:r>
          </w:p>
        </w:tc>
        <w:tc>
          <w:tcPr>
            <w:tcW w:w="4228" w:type="dxa"/>
            <w:gridSpan w:val="3"/>
            <w:tcBorders>
              <w:top w:val="single" w:sz="8" w:space="0" w:color="CF7B79"/>
              <w:left w:val="nil"/>
              <w:bottom w:val="single" w:sz="8" w:space="0" w:color="CF7B79"/>
              <w:right w:val="nil"/>
            </w:tcBorders>
            <w:shd w:val="clear" w:color="000000" w:fill="EFD3D2"/>
            <w:noWrap/>
            <w:vAlign w:val="center"/>
            <w:hideMark/>
          </w:tcPr>
          <w:p w14:paraId="1C2CDFC9" w14:textId="77777777" w:rsidR="001F2B19" w:rsidRPr="00976B5F" w:rsidRDefault="001F2B19" w:rsidP="00976B5F">
            <w:pPr>
              <w:rPr>
                <w:rFonts w:ascii="Arial Narrow" w:hAnsi="Arial Narrow"/>
                <w:b/>
                <w:bCs/>
                <w:spacing w:val="0"/>
                <w:sz w:val="16"/>
                <w:szCs w:val="16"/>
                <w:lang w:eastAsia="sq-AL"/>
              </w:rPr>
            </w:pPr>
            <w:r w:rsidRPr="00976B5F">
              <w:rPr>
                <w:rFonts w:ascii="Arial Narrow" w:hAnsi="Arial Narrow"/>
                <w:b/>
                <w:spacing w:val="0"/>
                <w:sz w:val="16"/>
                <w:szCs w:val="16"/>
                <w:lang w:eastAsia="sq-AL"/>
              </w:rPr>
              <w:t xml:space="preserve">Retail sale of motor  fuel  </w:t>
            </w:r>
          </w:p>
        </w:tc>
        <w:tc>
          <w:tcPr>
            <w:tcW w:w="1399" w:type="dxa"/>
            <w:gridSpan w:val="2"/>
            <w:tcBorders>
              <w:top w:val="nil"/>
              <w:left w:val="nil"/>
              <w:bottom w:val="single" w:sz="8" w:space="0" w:color="CF7B79"/>
              <w:right w:val="nil"/>
            </w:tcBorders>
            <w:shd w:val="clear" w:color="000000" w:fill="EFD3D2"/>
            <w:noWrap/>
            <w:vAlign w:val="center"/>
          </w:tcPr>
          <w:p w14:paraId="0091D7BF"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-4,9</w:t>
            </w:r>
          </w:p>
        </w:tc>
        <w:tc>
          <w:tcPr>
            <w:tcW w:w="1545" w:type="dxa"/>
            <w:gridSpan w:val="3"/>
            <w:tcBorders>
              <w:top w:val="nil"/>
              <w:left w:val="nil"/>
              <w:bottom w:val="single" w:sz="8" w:space="0" w:color="CF7B79"/>
              <w:right w:val="nil"/>
            </w:tcBorders>
            <w:shd w:val="clear" w:color="000000" w:fill="EFD3D2"/>
            <w:noWrap/>
            <w:vAlign w:val="center"/>
          </w:tcPr>
          <w:p w14:paraId="760E76ED"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9,8</w:t>
            </w:r>
          </w:p>
        </w:tc>
        <w:tc>
          <w:tcPr>
            <w:tcW w:w="1170" w:type="dxa"/>
            <w:gridSpan w:val="2"/>
            <w:tcBorders>
              <w:top w:val="nil"/>
              <w:left w:val="nil"/>
              <w:bottom w:val="single" w:sz="8" w:space="0" w:color="CF7B79"/>
              <w:right w:val="single" w:sz="8" w:space="0" w:color="CF7B79"/>
            </w:tcBorders>
            <w:shd w:val="clear" w:color="000000" w:fill="EFD3D2"/>
            <w:noWrap/>
            <w:vAlign w:val="center"/>
          </w:tcPr>
          <w:p w14:paraId="23F55950" w14:textId="77777777" w:rsidR="001F2B19" w:rsidRPr="00976B5F" w:rsidRDefault="001F2B19" w:rsidP="00976B5F">
            <w:pPr>
              <w:autoSpaceDE w:val="0"/>
              <w:autoSpaceDN w:val="0"/>
              <w:adjustRightInd w:val="0"/>
              <w:jc w:val="right"/>
              <w:rPr>
                <w:rFonts w:ascii="Arial Narrow" w:hAnsi="Arial Narrow" w:cs="Arial Narrow"/>
                <w:b/>
                <w:bCs/>
                <w:color w:val="000000"/>
                <w:spacing w:val="0"/>
                <w:sz w:val="16"/>
                <w:szCs w:val="16"/>
              </w:rPr>
            </w:pPr>
            <w:r w:rsidRPr="00976B5F">
              <w:rPr>
                <w:rFonts w:ascii="Arial Narrow" w:hAnsi="Arial Narrow" w:cs="Arial Narrow"/>
                <w:b/>
                <w:bCs/>
                <w:color w:val="000000"/>
                <w:spacing w:val="0"/>
                <w:sz w:val="16"/>
                <w:szCs w:val="16"/>
              </w:rPr>
              <w:t>11,0</w:t>
            </w:r>
          </w:p>
        </w:tc>
      </w:tr>
    </w:tbl>
    <w:p w14:paraId="64407D67" w14:textId="77777777" w:rsidR="000126A9" w:rsidRPr="00976B5F" w:rsidRDefault="006B207D" w:rsidP="00DC6D10">
      <w:pPr>
        <w:pStyle w:val="Title"/>
        <w:tabs>
          <w:tab w:val="left" w:pos="555"/>
          <w:tab w:val="left" w:pos="630"/>
        </w:tabs>
        <w:jc w:val="both"/>
        <w:rPr>
          <w:rFonts w:cstheme="minorHAnsi"/>
          <w:b/>
          <w:color w:val="7F7F7F" w:themeColor="text1" w:themeTint="80"/>
          <w:sz w:val="20"/>
          <w:szCs w:val="18"/>
        </w:rPr>
      </w:pPr>
      <w:r>
        <w:rPr>
          <w:rFonts w:cstheme="minorHAnsi"/>
          <w:b/>
          <w:color w:val="7F7F7F" w:themeColor="text1" w:themeTint="80"/>
          <w:sz w:val="18"/>
          <w:szCs w:val="18"/>
        </w:rPr>
        <w:t xml:space="preserve">           </w:t>
      </w:r>
      <w:r w:rsidR="000126A9" w:rsidRPr="00976B5F">
        <w:rPr>
          <w:rFonts w:cstheme="minorHAnsi"/>
          <w:b/>
          <w:color w:val="7F7F7F" w:themeColor="text1" w:themeTint="80"/>
          <w:sz w:val="20"/>
          <w:szCs w:val="18"/>
        </w:rPr>
        <w:t xml:space="preserve">Tab. </w:t>
      </w:r>
      <w:r w:rsidR="003A3572" w:rsidRPr="00976B5F">
        <w:rPr>
          <w:rFonts w:cstheme="minorHAnsi"/>
          <w:b/>
          <w:color w:val="7F7F7F" w:themeColor="text1" w:themeTint="80"/>
          <w:sz w:val="20"/>
          <w:szCs w:val="18"/>
        </w:rPr>
        <w:t xml:space="preserve">4 </w:t>
      </w:r>
      <w:r w:rsidR="000126A9" w:rsidRPr="00976B5F">
        <w:rPr>
          <w:rFonts w:cstheme="minorHAnsi"/>
          <w:b/>
          <w:color w:val="7F7F7F" w:themeColor="text1" w:themeTint="80"/>
          <w:sz w:val="20"/>
          <w:szCs w:val="18"/>
        </w:rPr>
        <w:t>Monthly change on Retail Trade and Retail Sale of motor fuel</w:t>
      </w:r>
      <w:r w:rsidR="00146EB1" w:rsidRPr="00976B5F">
        <w:rPr>
          <w:rFonts w:cstheme="minorHAnsi"/>
          <w:b/>
          <w:color w:val="7F7F7F" w:themeColor="text1" w:themeTint="80"/>
          <w:sz w:val="20"/>
          <w:szCs w:val="18"/>
        </w:rPr>
        <w:t xml:space="preserve"> seasonally adjusted</w:t>
      </w:r>
    </w:p>
    <w:tbl>
      <w:tblPr>
        <w:tblW w:w="9353" w:type="dxa"/>
        <w:tblInd w:w="558" w:type="dxa"/>
        <w:tblLayout w:type="fixed"/>
        <w:tblLook w:val="04A0" w:firstRow="1" w:lastRow="0" w:firstColumn="1" w:lastColumn="0" w:noHBand="0" w:noVBand="1"/>
      </w:tblPr>
      <w:tblGrid>
        <w:gridCol w:w="1076"/>
        <w:gridCol w:w="4211"/>
        <w:gridCol w:w="135"/>
        <w:gridCol w:w="1084"/>
        <w:gridCol w:w="805"/>
        <w:gridCol w:w="957"/>
        <w:gridCol w:w="1085"/>
      </w:tblGrid>
      <w:tr w:rsidR="00CE42EA" w:rsidRPr="00976B5F" w14:paraId="581E49E4" w14:textId="77777777" w:rsidTr="00D166A0">
        <w:trPr>
          <w:trHeight w:val="96"/>
        </w:trPr>
        <w:tc>
          <w:tcPr>
            <w:tcW w:w="1076" w:type="dxa"/>
            <w:tcBorders>
              <w:top w:val="nil"/>
              <w:left w:val="nil"/>
              <w:bottom w:val="single" w:sz="8" w:space="0" w:color="CF7B79"/>
              <w:right w:val="nil"/>
            </w:tcBorders>
            <w:shd w:val="clear" w:color="auto" w:fill="auto"/>
            <w:noWrap/>
            <w:vAlign w:val="bottom"/>
            <w:hideMark/>
          </w:tcPr>
          <w:p w14:paraId="1917D3D4" w14:textId="77777777" w:rsidR="000126A9" w:rsidRPr="00976B5F" w:rsidRDefault="000126A9" w:rsidP="00DC6D10">
            <w:pPr>
              <w:rPr>
                <w:rFonts w:ascii="Arial Narrow" w:hAnsi="Arial Narrow" w:cstheme="minorHAnsi"/>
                <w:color w:val="000000"/>
                <w:spacing w:val="0"/>
                <w:sz w:val="16"/>
                <w:szCs w:val="16"/>
              </w:rPr>
            </w:pPr>
          </w:p>
        </w:tc>
        <w:tc>
          <w:tcPr>
            <w:tcW w:w="4346" w:type="dxa"/>
            <w:gridSpan w:val="2"/>
            <w:tcBorders>
              <w:top w:val="nil"/>
              <w:left w:val="nil"/>
              <w:bottom w:val="single" w:sz="8" w:space="0" w:color="CF7B79"/>
              <w:right w:val="nil"/>
            </w:tcBorders>
            <w:shd w:val="clear" w:color="auto" w:fill="auto"/>
            <w:noWrap/>
            <w:vAlign w:val="bottom"/>
            <w:hideMark/>
          </w:tcPr>
          <w:p w14:paraId="422625B6" w14:textId="77777777" w:rsidR="000126A9" w:rsidRPr="00976B5F" w:rsidRDefault="000126A9" w:rsidP="00DC6D10">
            <w:pPr>
              <w:rPr>
                <w:rFonts w:ascii="Arial Narrow" w:hAnsi="Arial Narrow" w:cstheme="minorHAnsi"/>
                <w:color w:val="000000"/>
                <w:spacing w:val="0"/>
                <w:sz w:val="16"/>
                <w:szCs w:val="16"/>
              </w:rPr>
            </w:pPr>
          </w:p>
        </w:tc>
        <w:tc>
          <w:tcPr>
            <w:tcW w:w="1889" w:type="dxa"/>
            <w:gridSpan w:val="2"/>
            <w:tcBorders>
              <w:top w:val="nil"/>
              <w:left w:val="nil"/>
              <w:bottom w:val="single" w:sz="8" w:space="0" w:color="CF7B79"/>
              <w:right w:val="nil"/>
            </w:tcBorders>
            <w:shd w:val="clear" w:color="auto" w:fill="auto"/>
            <w:noWrap/>
            <w:vAlign w:val="bottom"/>
            <w:hideMark/>
          </w:tcPr>
          <w:p w14:paraId="4C818BB6" w14:textId="77777777" w:rsidR="000126A9" w:rsidRPr="00976B5F" w:rsidRDefault="000126A9" w:rsidP="00DC6D10">
            <w:pPr>
              <w:jc w:val="right"/>
              <w:rPr>
                <w:rFonts w:ascii="Arial Narrow" w:hAnsi="Arial Narrow" w:cstheme="minorHAnsi"/>
                <w:color w:val="000000"/>
                <w:spacing w:val="0"/>
                <w:sz w:val="16"/>
                <w:szCs w:val="16"/>
              </w:rPr>
            </w:pPr>
            <w:r w:rsidRPr="00976B5F">
              <w:rPr>
                <w:rFonts w:ascii="Arial Narrow" w:hAnsi="Arial Narrow" w:cstheme="minorHAnsi"/>
                <w:color w:val="000000"/>
                <w:spacing w:val="0"/>
                <w:sz w:val="16"/>
                <w:szCs w:val="16"/>
              </w:rPr>
              <w:t xml:space="preserve">                        </w:t>
            </w:r>
          </w:p>
        </w:tc>
        <w:tc>
          <w:tcPr>
            <w:tcW w:w="2042" w:type="dxa"/>
            <w:gridSpan w:val="2"/>
            <w:tcBorders>
              <w:top w:val="nil"/>
              <w:left w:val="nil"/>
              <w:bottom w:val="single" w:sz="8" w:space="0" w:color="CF7B79"/>
              <w:right w:val="nil"/>
            </w:tcBorders>
            <w:shd w:val="clear" w:color="auto" w:fill="auto"/>
            <w:vAlign w:val="bottom"/>
            <w:hideMark/>
          </w:tcPr>
          <w:p w14:paraId="20D9A1BB" w14:textId="77777777" w:rsidR="000126A9" w:rsidRPr="00976B5F" w:rsidRDefault="000126A9" w:rsidP="00DC6D10">
            <w:pPr>
              <w:jc w:val="right"/>
              <w:rPr>
                <w:rFonts w:ascii="Arial Narrow" w:hAnsi="Arial Narrow" w:cstheme="minorHAnsi"/>
                <w:color w:val="000000"/>
                <w:spacing w:val="0"/>
                <w:sz w:val="16"/>
                <w:szCs w:val="16"/>
              </w:rPr>
            </w:pPr>
            <w:r w:rsidRPr="00976B5F">
              <w:rPr>
                <w:rFonts w:ascii="Arial Narrow" w:hAnsi="Arial Narrow" w:cstheme="minorHAnsi"/>
                <w:color w:val="000000"/>
                <w:spacing w:val="0"/>
                <w:sz w:val="16"/>
                <w:szCs w:val="16"/>
              </w:rPr>
              <w:t xml:space="preserve">                </w:t>
            </w:r>
            <w:r w:rsidR="00953C2D" w:rsidRPr="00976B5F">
              <w:rPr>
                <w:rFonts w:ascii="Arial Narrow" w:hAnsi="Arial Narrow" w:cstheme="minorHAnsi"/>
                <w:color w:val="000000"/>
                <w:spacing w:val="0"/>
                <w:sz w:val="16"/>
                <w:szCs w:val="16"/>
              </w:rPr>
              <w:t xml:space="preserve">                                 </w:t>
            </w:r>
            <w:r w:rsidRPr="00976B5F">
              <w:rPr>
                <w:rFonts w:ascii="Arial Narrow" w:hAnsi="Arial Narrow" w:cstheme="minorHAnsi"/>
                <w:color w:val="000000"/>
                <w:spacing w:val="0"/>
                <w:sz w:val="16"/>
                <w:szCs w:val="16"/>
              </w:rPr>
              <w:t xml:space="preserve">  %</w:t>
            </w:r>
          </w:p>
        </w:tc>
      </w:tr>
      <w:tr w:rsidR="00B574D5" w:rsidRPr="00976B5F" w14:paraId="449BD0A9" w14:textId="77777777" w:rsidTr="00D166A0">
        <w:trPr>
          <w:trHeight w:val="286"/>
        </w:trPr>
        <w:tc>
          <w:tcPr>
            <w:tcW w:w="1076" w:type="dxa"/>
            <w:tcBorders>
              <w:top w:val="single" w:sz="8" w:space="0" w:color="CF7B79"/>
              <w:left w:val="single" w:sz="8" w:space="0" w:color="CF7B79"/>
              <w:right w:val="nil"/>
            </w:tcBorders>
            <w:shd w:val="clear" w:color="000000" w:fill="C0504D"/>
            <w:noWrap/>
            <w:vAlign w:val="center"/>
            <w:hideMark/>
          </w:tcPr>
          <w:p w14:paraId="1D058A32" w14:textId="77777777" w:rsidR="00B574D5" w:rsidRPr="00976B5F" w:rsidRDefault="00B574D5" w:rsidP="00976B5F">
            <w:pPr>
              <w:rPr>
                <w:rFonts w:ascii="Arial Narrow" w:hAnsi="Arial Narrow" w:cs="Arial"/>
                <w:b/>
                <w:bCs/>
                <w:color w:val="FFFFFF"/>
                <w:spacing w:val="0"/>
                <w:sz w:val="16"/>
                <w:szCs w:val="16"/>
                <w:lang w:eastAsia="sq-AL"/>
              </w:rPr>
            </w:pPr>
            <w:r w:rsidRPr="00976B5F">
              <w:rPr>
                <w:rFonts w:ascii="Arial Narrow" w:hAnsi="Arial Narrow" w:cs="Arial"/>
                <w:b/>
                <w:bCs/>
                <w:color w:val="FFFFFF"/>
                <w:spacing w:val="0"/>
                <w:sz w:val="16"/>
                <w:szCs w:val="16"/>
                <w:lang w:eastAsia="sq-AL"/>
              </w:rPr>
              <w:t>NACE</w:t>
            </w:r>
          </w:p>
        </w:tc>
        <w:tc>
          <w:tcPr>
            <w:tcW w:w="4211" w:type="dxa"/>
            <w:tcBorders>
              <w:top w:val="single" w:sz="8" w:space="0" w:color="CF7B79"/>
              <w:left w:val="nil"/>
              <w:right w:val="nil"/>
            </w:tcBorders>
            <w:shd w:val="clear" w:color="000000" w:fill="C0504D"/>
            <w:vAlign w:val="center"/>
            <w:hideMark/>
          </w:tcPr>
          <w:p w14:paraId="789355E2" w14:textId="77777777" w:rsidR="00B574D5" w:rsidRPr="00976B5F" w:rsidRDefault="00B574D5" w:rsidP="00264ADC">
            <w:pPr>
              <w:rPr>
                <w:rFonts w:ascii="Arial Narrow" w:hAnsi="Arial Narrow" w:cs="Arial"/>
                <w:b/>
                <w:color w:val="FFFFFF"/>
                <w:spacing w:val="0"/>
                <w:sz w:val="16"/>
                <w:szCs w:val="16"/>
                <w:lang w:eastAsia="sq-AL"/>
              </w:rPr>
            </w:pPr>
            <w:r w:rsidRPr="00976B5F">
              <w:rPr>
                <w:rFonts w:ascii="Arial Narrow" w:hAnsi="Arial Narrow" w:cs="Arial"/>
                <w:b/>
                <w:color w:val="FFFFFF"/>
                <w:spacing w:val="0"/>
                <w:sz w:val="16"/>
                <w:szCs w:val="16"/>
                <w:lang w:eastAsia="sq-AL"/>
              </w:rPr>
              <w:t>Economic activity</w:t>
            </w:r>
          </w:p>
        </w:tc>
        <w:tc>
          <w:tcPr>
            <w:tcW w:w="1219" w:type="dxa"/>
            <w:gridSpan w:val="2"/>
            <w:tcBorders>
              <w:top w:val="single" w:sz="8" w:space="0" w:color="CF7B79"/>
            </w:tcBorders>
            <w:shd w:val="clear" w:color="000000" w:fill="C0504D"/>
            <w:noWrap/>
            <w:vAlign w:val="center"/>
          </w:tcPr>
          <w:p w14:paraId="4752C85F" w14:textId="77777777" w:rsidR="00B574D5" w:rsidRPr="00976B5F" w:rsidRDefault="00B574D5" w:rsidP="00976B5F">
            <w:pPr>
              <w:autoSpaceDE w:val="0"/>
              <w:autoSpaceDN w:val="0"/>
              <w:adjustRightInd w:val="0"/>
              <w:jc w:val="right"/>
              <w:rPr>
                <w:rFonts w:ascii="Arial Narrow" w:hAnsi="Arial Narrow" w:cs="Arial"/>
                <w:b/>
                <w:color w:val="FFFFFF"/>
                <w:spacing w:val="0"/>
                <w:sz w:val="16"/>
                <w:szCs w:val="16"/>
              </w:rPr>
            </w:pPr>
            <w:r w:rsidRPr="00976B5F">
              <w:rPr>
                <w:rFonts w:ascii="Arial Narrow" w:hAnsi="Arial Narrow" w:cs="Arial"/>
                <w:b/>
                <w:color w:val="FFFFFF"/>
                <w:spacing w:val="0"/>
                <w:sz w:val="16"/>
                <w:szCs w:val="16"/>
              </w:rPr>
              <w:t>04-24 / 3-24</w:t>
            </w:r>
          </w:p>
        </w:tc>
        <w:tc>
          <w:tcPr>
            <w:tcW w:w="1762" w:type="dxa"/>
            <w:gridSpan w:val="2"/>
            <w:tcBorders>
              <w:top w:val="single" w:sz="8" w:space="0" w:color="CF7B79"/>
            </w:tcBorders>
            <w:shd w:val="clear" w:color="000000" w:fill="C0504D"/>
            <w:noWrap/>
            <w:vAlign w:val="center"/>
          </w:tcPr>
          <w:p w14:paraId="4DDDB55C" w14:textId="77777777" w:rsidR="00B574D5" w:rsidRPr="00976B5F" w:rsidRDefault="00B574D5" w:rsidP="00976B5F">
            <w:pPr>
              <w:autoSpaceDE w:val="0"/>
              <w:autoSpaceDN w:val="0"/>
              <w:adjustRightInd w:val="0"/>
              <w:jc w:val="right"/>
              <w:rPr>
                <w:rFonts w:ascii="Arial Narrow" w:hAnsi="Arial Narrow" w:cs="Arial"/>
                <w:b/>
                <w:color w:val="FFFFFF"/>
                <w:spacing w:val="0"/>
                <w:sz w:val="16"/>
                <w:szCs w:val="16"/>
              </w:rPr>
            </w:pPr>
            <w:r w:rsidRPr="00976B5F">
              <w:rPr>
                <w:rFonts w:ascii="Arial Narrow" w:hAnsi="Arial Narrow" w:cs="Arial"/>
                <w:b/>
                <w:color w:val="FFFFFF"/>
                <w:spacing w:val="0"/>
                <w:sz w:val="16"/>
                <w:szCs w:val="16"/>
              </w:rPr>
              <w:t xml:space="preserve"> </w:t>
            </w:r>
            <w:r w:rsidR="00DC6D10" w:rsidRPr="00976B5F">
              <w:rPr>
                <w:rFonts w:ascii="Arial Narrow" w:hAnsi="Arial Narrow" w:cs="Arial"/>
                <w:b/>
                <w:color w:val="FFFFFF"/>
                <w:spacing w:val="0"/>
                <w:sz w:val="16"/>
                <w:szCs w:val="16"/>
              </w:rPr>
              <w:t xml:space="preserve">     </w:t>
            </w:r>
            <w:r w:rsidRPr="00976B5F">
              <w:rPr>
                <w:rFonts w:ascii="Arial Narrow" w:hAnsi="Arial Narrow" w:cs="Arial"/>
                <w:b/>
                <w:color w:val="FFFFFF"/>
                <w:spacing w:val="0"/>
                <w:sz w:val="16"/>
                <w:szCs w:val="16"/>
              </w:rPr>
              <w:t>05-24 / 04-24</w:t>
            </w:r>
          </w:p>
        </w:tc>
        <w:tc>
          <w:tcPr>
            <w:tcW w:w="1085" w:type="dxa"/>
            <w:tcBorders>
              <w:top w:val="single" w:sz="8" w:space="0" w:color="CF7B79"/>
            </w:tcBorders>
            <w:shd w:val="clear" w:color="000000" w:fill="C0504D"/>
            <w:noWrap/>
            <w:vAlign w:val="center"/>
          </w:tcPr>
          <w:p w14:paraId="4D8363E3" w14:textId="77777777" w:rsidR="00B574D5" w:rsidRPr="00976B5F" w:rsidRDefault="00B574D5" w:rsidP="00976B5F">
            <w:pPr>
              <w:autoSpaceDE w:val="0"/>
              <w:autoSpaceDN w:val="0"/>
              <w:adjustRightInd w:val="0"/>
              <w:jc w:val="right"/>
              <w:rPr>
                <w:rFonts w:ascii="Arial Narrow" w:hAnsi="Arial Narrow" w:cs="Arial"/>
                <w:b/>
                <w:color w:val="FFFFFF"/>
                <w:spacing w:val="0"/>
                <w:sz w:val="16"/>
                <w:szCs w:val="16"/>
              </w:rPr>
            </w:pPr>
            <w:r w:rsidRPr="00976B5F">
              <w:rPr>
                <w:rFonts w:ascii="Arial Narrow" w:hAnsi="Arial Narrow" w:cs="Arial"/>
                <w:b/>
                <w:color w:val="FFFFFF"/>
                <w:spacing w:val="0"/>
                <w:sz w:val="16"/>
                <w:szCs w:val="16"/>
              </w:rPr>
              <w:t>06-24 / 05-24</w:t>
            </w:r>
          </w:p>
        </w:tc>
      </w:tr>
      <w:tr w:rsidR="00B574D5" w:rsidRPr="00976B5F" w14:paraId="26D9B34A" w14:textId="77777777" w:rsidTr="00D166A0">
        <w:trPr>
          <w:trHeight w:val="245"/>
        </w:trPr>
        <w:tc>
          <w:tcPr>
            <w:tcW w:w="1076" w:type="dxa"/>
            <w:tcBorders>
              <w:left w:val="single" w:sz="8" w:space="0" w:color="CF7B79"/>
              <w:bottom w:val="single" w:sz="8" w:space="0" w:color="CF7B79"/>
              <w:right w:val="nil"/>
            </w:tcBorders>
            <w:shd w:val="clear" w:color="000000" w:fill="EFD3D2"/>
            <w:noWrap/>
            <w:vAlign w:val="center"/>
            <w:hideMark/>
          </w:tcPr>
          <w:p w14:paraId="28A0AB07" w14:textId="77777777" w:rsidR="00B574D5" w:rsidRPr="00976B5F" w:rsidRDefault="00B574D5" w:rsidP="00976B5F">
            <w:pPr>
              <w:rPr>
                <w:rFonts w:ascii="Arial Narrow" w:hAnsi="Arial Narrow" w:cs="Arial"/>
                <w:b/>
                <w:bCs/>
                <w:color w:val="000000"/>
                <w:spacing w:val="0"/>
                <w:sz w:val="16"/>
                <w:szCs w:val="16"/>
                <w:lang w:eastAsia="sq-AL"/>
              </w:rPr>
            </w:pPr>
            <w:r w:rsidRPr="00976B5F">
              <w:rPr>
                <w:rFonts w:ascii="Arial Narrow" w:hAnsi="Arial Narrow" w:cs="Arial"/>
                <w:b/>
                <w:bCs/>
                <w:color w:val="000000"/>
                <w:spacing w:val="0"/>
                <w:sz w:val="16"/>
                <w:szCs w:val="16"/>
                <w:lang w:eastAsia="sq-AL"/>
              </w:rPr>
              <w:t>47</w:t>
            </w:r>
          </w:p>
        </w:tc>
        <w:tc>
          <w:tcPr>
            <w:tcW w:w="4346" w:type="dxa"/>
            <w:gridSpan w:val="2"/>
            <w:tcBorders>
              <w:left w:val="nil"/>
              <w:bottom w:val="single" w:sz="8" w:space="0" w:color="CF7B79"/>
              <w:right w:val="nil"/>
            </w:tcBorders>
            <w:shd w:val="clear" w:color="000000" w:fill="EFD3D2"/>
            <w:vAlign w:val="center"/>
            <w:hideMark/>
          </w:tcPr>
          <w:p w14:paraId="36CDF7E5" w14:textId="77777777" w:rsidR="00B574D5" w:rsidRPr="00976B5F" w:rsidRDefault="00B574D5" w:rsidP="00A153DD">
            <w:pPr>
              <w:rPr>
                <w:rFonts w:ascii="Arial Narrow" w:hAnsi="Arial Narrow" w:cs="Arial"/>
                <w:b/>
                <w:bCs/>
                <w:spacing w:val="0"/>
                <w:sz w:val="16"/>
                <w:szCs w:val="16"/>
                <w:lang w:eastAsia="sq-AL"/>
              </w:rPr>
            </w:pPr>
            <w:r w:rsidRPr="00976B5F">
              <w:rPr>
                <w:rFonts w:ascii="Arial Narrow" w:hAnsi="Arial Narrow" w:cs="Arial"/>
                <w:b/>
                <w:bCs/>
                <w:spacing w:val="0"/>
                <w:sz w:val="16"/>
                <w:szCs w:val="16"/>
                <w:lang w:eastAsia="sq-AL"/>
              </w:rPr>
              <w:t>Retail trade</w:t>
            </w:r>
          </w:p>
        </w:tc>
        <w:tc>
          <w:tcPr>
            <w:tcW w:w="1084" w:type="dxa"/>
            <w:tcBorders>
              <w:left w:val="nil"/>
              <w:bottom w:val="single" w:sz="8" w:space="0" w:color="CF7B79"/>
              <w:right w:val="nil"/>
            </w:tcBorders>
            <w:shd w:val="clear" w:color="000000" w:fill="EFD3D2"/>
            <w:noWrap/>
            <w:vAlign w:val="center"/>
          </w:tcPr>
          <w:p w14:paraId="16ABE98E"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-0,4</w:t>
            </w:r>
          </w:p>
        </w:tc>
        <w:tc>
          <w:tcPr>
            <w:tcW w:w="1762" w:type="dxa"/>
            <w:gridSpan w:val="2"/>
            <w:tcBorders>
              <w:left w:val="nil"/>
              <w:bottom w:val="single" w:sz="8" w:space="0" w:color="CF7B79"/>
              <w:right w:val="nil"/>
            </w:tcBorders>
            <w:shd w:val="clear" w:color="000000" w:fill="EFD3D2"/>
            <w:noWrap/>
            <w:vAlign w:val="center"/>
          </w:tcPr>
          <w:p w14:paraId="5C2BAC80"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2,0</w:t>
            </w:r>
          </w:p>
        </w:tc>
        <w:tc>
          <w:tcPr>
            <w:tcW w:w="1085" w:type="dxa"/>
            <w:tcBorders>
              <w:left w:val="nil"/>
              <w:bottom w:val="single" w:sz="8" w:space="0" w:color="CF7B79"/>
              <w:right w:val="single" w:sz="8" w:space="0" w:color="CF7B79"/>
            </w:tcBorders>
            <w:shd w:val="clear" w:color="000000" w:fill="EFD3D2"/>
            <w:noWrap/>
            <w:vAlign w:val="center"/>
          </w:tcPr>
          <w:p w14:paraId="12858205"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1,2</w:t>
            </w:r>
          </w:p>
        </w:tc>
      </w:tr>
      <w:tr w:rsidR="00B574D5" w:rsidRPr="00976B5F" w14:paraId="1654F0EE" w14:textId="77777777" w:rsidTr="00D166A0">
        <w:trPr>
          <w:trHeight w:val="397"/>
        </w:trPr>
        <w:tc>
          <w:tcPr>
            <w:tcW w:w="1076" w:type="dxa"/>
            <w:tcBorders>
              <w:top w:val="nil"/>
              <w:left w:val="single" w:sz="8" w:space="0" w:color="CF7B79"/>
              <w:bottom w:val="single" w:sz="8" w:space="0" w:color="CF7B79"/>
              <w:right w:val="nil"/>
            </w:tcBorders>
            <w:shd w:val="clear" w:color="000000" w:fill="EFD3D2"/>
            <w:noWrap/>
            <w:vAlign w:val="center"/>
            <w:hideMark/>
          </w:tcPr>
          <w:p w14:paraId="08BFDD93" w14:textId="77777777" w:rsidR="00B574D5" w:rsidRPr="00976B5F" w:rsidRDefault="00B574D5" w:rsidP="00976B5F">
            <w:pPr>
              <w:rPr>
                <w:rFonts w:ascii="Arial Narrow" w:hAnsi="Arial Narrow" w:cs="Arial"/>
                <w:b/>
                <w:bCs/>
                <w:color w:val="000000"/>
                <w:spacing w:val="0"/>
                <w:sz w:val="16"/>
                <w:szCs w:val="16"/>
                <w:lang w:eastAsia="sq-AL"/>
              </w:rPr>
            </w:pPr>
            <w:r w:rsidRPr="00976B5F">
              <w:rPr>
                <w:rFonts w:ascii="Arial Narrow" w:hAnsi="Arial Narrow" w:cs="Arial"/>
                <w:b/>
                <w:bCs/>
                <w:color w:val="000000"/>
                <w:spacing w:val="0"/>
                <w:sz w:val="16"/>
                <w:szCs w:val="16"/>
                <w:lang w:eastAsia="sq-AL"/>
              </w:rPr>
              <w:t>47ex473</w:t>
            </w:r>
          </w:p>
        </w:tc>
        <w:tc>
          <w:tcPr>
            <w:tcW w:w="4346" w:type="dxa"/>
            <w:gridSpan w:val="2"/>
            <w:tcBorders>
              <w:top w:val="single" w:sz="8" w:space="0" w:color="CF7B79"/>
              <w:left w:val="nil"/>
              <w:bottom w:val="single" w:sz="8" w:space="0" w:color="CF7B79"/>
              <w:right w:val="nil"/>
            </w:tcBorders>
            <w:shd w:val="clear" w:color="000000" w:fill="EFD3D2"/>
            <w:vAlign w:val="center"/>
            <w:hideMark/>
          </w:tcPr>
          <w:p w14:paraId="43A41304" w14:textId="77777777" w:rsidR="00B574D5" w:rsidRPr="00976B5F" w:rsidRDefault="00B574D5" w:rsidP="00A153DD">
            <w:pPr>
              <w:rPr>
                <w:rFonts w:ascii="Arial Narrow" w:hAnsi="Arial Narrow" w:cs="Arial"/>
                <w:b/>
                <w:bCs/>
                <w:spacing w:val="0"/>
                <w:sz w:val="16"/>
                <w:szCs w:val="16"/>
                <w:lang w:eastAsia="sq-AL"/>
              </w:rPr>
            </w:pPr>
            <w:r w:rsidRPr="00976B5F">
              <w:rPr>
                <w:rFonts w:ascii="Arial Narrow" w:hAnsi="Arial Narrow" w:cs="Arial"/>
                <w:b/>
                <w:bCs/>
                <w:spacing w:val="0"/>
                <w:sz w:val="16"/>
                <w:szCs w:val="16"/>
                <w:lang w:eastAsia="sq-AL"/>
              </w:rPr>
              <w:t>Retail trade. except r</w:t>
            </w:r>
            <w:r w:rsidRPr="00976B5F">
              <w:rPr>
                <w:rFonts w:ascii="Arial Narrow" w:hAnsi="Arial Narrow" w:cs="Arial"/>
                <w:b/>
                <w:spacing w:val="0"/>
                <w:sz w:val="16"/>
                <w:szCs w:val="16"/>
                <w:lang w:eastAsia="sq-AL"/>
              </w:rPr>
              <w:t>etail sale of automotive fuel</w:t>
            </w:r>
          </w:p>
        </w:tc>
        <w:tc>
          <w:tcPr>
            <w:tcW w:w="1084" w:type="dxa"/>
            <w:tcBorders>
              <w:top w:val="nil"/>
              <w:left w:val="nil"/>
              <w:bottom w:val="single" w:sz="8" w:space="0" w:color="CF7B79"/>
              <w:right w:val="nil"/>
            </w:tcBorders>
            <w:shd w:val="clear" w:color="000000" w:fill="EFD3D2"/>
            <w:noWrap/>
            <w:vAlign w:val="center"/>
          </w:tcPr>
          <w:p w14:paraId="087A464A"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-0,6</w:t>
            </w:r>
          </w:p>
        </w:tc>
        <w:tc>
          <w:tcPr>
            <w:tcW w:w="1762" w:type="dxa"/>
            <w:gridSpan w:val="2"/>
            <w:tcBorders>
              <w:top w:val="nil"/>
              <w:left w:val="nil"/>
              <w:bottom w:val="single" w:sz="8" w:space="0" w:color="CF7B79"/>
              <w:right w:val="nil"/>
            </w:tcBorders>
            <w:shd w:val="clear" w:color="000000" w:fill="EFD3D2"/>
            <w:noWrap/>
            <w:vAlign w:val="center"/>
          </w:tcPr>
          <w:p w14:paraId="55E74372"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1,9</w:t>
            </w:r>
          </w:p>
        </w:tc>
        <w:tc>
          <w:tcPr>
            <w:tcW w:w="1085" w:type="dxa"/>
            <w:tcBorders>
              <w:top w:val="nil"/>
              <w:left w:val="nil"/>
              <w:bottom w:val="single" w:sz="8" w:space="0" w:color="CF7B79"/>
              <w:right w:val="single" w:sz="8" w:space="0" w:color="CF7B79"/>
            </w:tcBorders>
            <w:shd w:val="clear" w:color="000000" w:fill="EFD3D2"/>
            <w:noWrap/>
            <w:vAlign w:val="center"/>
          </w:tcPr>
          <w:p w14:paraId="24135FF5"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1,2</w:t>
            </w:r>
          </w:p>
        </w:tc>
      </w:tr>
      <w:tr w:rsidR="00B574D5" w:rsidRPr="00976B5F" w14:paraId="3A408425" w14:textId="77777777" w:rsidTr="00D166A0">
        <w:trPr>
          <w:trHeight w:val="397"/>
        </w:trPr>
        <w:tc>
          <w:tcPr>
            <w:tcW w:w="1076" w:type="dxa"/>
            <w:tcBorders>
              <w:top w:val="nil"/>
              <w:left w:val="single" w:sz="8" w:space="0" w:color="CF7B79"/>
              <w:bottom w:val="single" w:sz="8" w:space="0" w:color="CF7B79"/>
              <w:right w:val="nil"/>
            </w:tcBorders>
            <w:shd w:val="clear" w:color="auto" w:fill="auto"/>
            <w:noWrap/>
            <w:vAlign w:val="center"/>
            <w:hideMark/>
          </w:tcPr>
          <w:p w14:paraId="53AB9368" w14:textId="77777777" w:rsidR="00B574D5" w:rsidRPr="00976B5F" w:rsidRDefault="00B574D5" w:rsidP="00976B5F">
            <w:pPr>
              <w:rPr>
                <w:rFonts w:ascii="Arial Narrow" w:hAnsi="Arial Narrow" w:cs="Arial"/>
                <w:color w:val="000000"/>
                <w:spacing w:val="0"/>
                <w:sz w:val="16"/>
                <w:szCs w:val="16"/>
                <w:lang w:eastAsia="sq-AL"/>
              </w:rPr>
            </w:pPr>
            <w:r w:rsidRPr="00976B5F">
              <w:rPr>
                <w:rFonts w:ascii="Arial Narrow" w:hAnsi="Arial Narrow" w:cs="Arial"/>
                <w:color w:val="000000"/>
                <w:spacing w:val="0"/>
                <w:sz w:val="16"/>
                <w:szCs w:val="16"/>
                <w:lang w:eastAsia="sq-AL"/>
              </w:rPr>
              <w:t>4711; 472</w:t>
            </w:r>
          </w:p>
        </w:tc>
        <w:tc>
          <w:tcPr>
            <w:tcW w:w="4346" w:type="dxa"/>
            <w:gridSpan w:val="2"/>
            <w:tcBorders>
              <w:top w:val="single" w:sz="8" w:space="0" w:color="CF7B79"/>
              <w:left w:val="nil"/>
              <w:bottom w:val="single" w:sz="8" w:space="0" w:color="CF7B79"/>
              <w:right w:val="nil"/>
            </w:tcBorders>
            <w:shd w:val="clear" w:color="auto" w:fill="auto"/>
            <w:vAlign w:val="center"/>
            <w:hideMark/>
          </w:tcPr>
          <w:p w14:paraId="7842D86A" w14:textId="77777777" w:rsidR="00B574D5" w:rsidRPr="00976B5F" w:rsidRDefault="00B574D5" w:rsidP="00A153DD">
            <w:pPr>
              <w:autoSpaceDE w:val="0"/>
              <w:autoSpaceDN w:val="0"/>
              <w:adjustRightInd w:val="0"/>
              <w:rPr>
                <w:rFonts w:ascii="Arial Narrow" w:hAnsi="Arial Narrow" w:cs="Arial"/>
                <w:spacing w:val="0"/>
                <w:sz w:val="16"/>
                <w:szCs w:val="16"/>
                <w:lang w:eastAsia="sq-AL"/>
              </w:rPr>
            </w:pPr>
            <w:r w:rsidRPr="00976B5F">
              <w:rPr>
                <w:rFonts w:ascii="Arial Narrow" w:hAnsi="Arial Narrow" w:cs="Arial"/>
                <w:spacing w:val="0"/>
                <w:sz w:val="16"/>
                <w:szCs w:val="16"/>
                <w:lang w:eastAsia="sq-AL"/>
              </w:rPr>
              <w:t xml:space="preserve">Food. beverages and tobacco in both specialized and </w:t>
            </w:r>
            <w:proofErr w:type="spellStart"/>
            <w:proofErr w:type="gramStart"/>
            <w:r w:rsidRPr="00976B5F">
              <w:rPr>
                <w:rFonts w:ascii="Arial Narrow" w:hAnsi="Arial Narrow" w:cs="Arial"/>
                <w:spacing w:val="0"/>
                <w:sz w:val="16"/>
                <w:szCs w:val="16"/>
                <w:lang w:eastAsia="sq-AL"/>
              </w:rPr>
              <w:t>non specialized</w:t>
            </w:r>
            <w:proofErr w:type="spellEnd"/>
            <w:proofErr w:type="gramEnd"/>
            <w:r w:rsidRPr="00976B5F">
              <w:rPr>
                <w:rFonts w:ascii="Arial Narrow" w:hAnsi="Arial Narrow" w:cs="Arial"/>
                <w:spacing w:val="0"/>
                <w:sz w:val="16"/>
                <w:szCs w:val="16"/>
                <w:lang w:eastAsia="sq-AL"/>
              </w:rPr>
              <w:t xml:space="preserve"> stores</w:t>
            </w:r>
          </w:p>
        </w:tc>
        <w:tc>
          <w:tcPr>
            <w:tcW w:w="1084" w:type="dxa"/>
            <w:tcBorders>
              <w:top w:val="nil"/>
              <w:left w:val="nil"/>
              <w:bottom w:val="single" w:sz="8" w:space="0" w:color="CF7B79"/>
              <w:right w:val="nil"/>
            </w:tcBorders>
            <w:shd w:val="clear" w:color="auto" w:fill="auto"/>
            <w:noWrap/>
            <w:vAlign w:val="center"/>
          </w:tcPr>
          <w:p w14:paraId="37756055"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0,6</w:t>
            </w:r>
          </w:p>
        </w:tc>
        <w:tc>
          <w:tcPr>
            <w:tcW w:w="1762" w:type="dxa"/>
            <w:gridSpan w:val="2"/>
            <w:tcBorders>
              <w:top w:val="nil"/>
              <w:left w:val="nil"/>
              <w:bottom w:val="single" w:sz="8" w:space="0" w:color="CF7B79"/>
              <w:right w:val="nil"/>
            </w:tcBorders>
            <w:shd w:val="clear" w:color="auto" w:fill="auto"/>
            <w:noWrap/>
            <w:vAlign w:val="center"/>
          </w:tcPr>
          <w:p w14:paraId="2CFD603E"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0,3</w:t>
            </w:r>
          </w:p>
        </w:tc>
        <w:tc>
          <w:tcPr>
            <w:tcW w:w="1085" w:type="dxa"/>
            <w:tcBorders>
              <w:top w:val="nil"/>
              <w:left w:val="nil"/>
              <w:bottom w:val="single" w:sz="8" w:space="0" w:color="CF7B79"/>
              <w:right w:val="single" w:sz="8" w:space="0" w:color="CF7B79"/>
            </w:tcBorders>
            <w:shd w:val="clear" w:color="auto" w:fill="auto"/>
            <w:noWrap/>
            <w:vAlign w:val="center"/>
          </w:tcPr>
          <w:p w14:paraId="0F61E951"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0,6</w:t>
            </w:r>
          </w:p>
        </w:tc>
      </w:tr>
      <w:tr w:rsidR="00B574D5" w:rsidRPr="00976B5F" w14:paraId="16B862CC" w14:textId="77777777" w:rsidTr="00D166A0">
        <w:trPr>
          <w:trHeight w:val="397"/>
        </w:trPr>
        <w:tc>
          <w:tcPr>
            <w:tcW w:w="1076" w:type="dxa"/>
            <w:tcBorders>
              <w:top w:val="nil"/>
              <w:left w:val="single" w:sz="8" w:space="0" w:color="CF7B79"/>
              <w:bottom w:val="single" w:sz="8" w:space="0" w:color="CF7B79"/>
              <w:right w:val="nil"/>
            </w:tcBorders>
            <w:shd w:val="clear" w:color="auto" w:fill="auto"/>
            <w:noWrap/>
            <w:vAlign w:val="center"/>
            <w:hideMark/>
          </w:tcPr>
          <w:p w14:paraId="581A505D" w14:textId="77777777" w:rsidR="00B574D5" w:rsidRPr="00976B5F" w:rsidRDefault="00B574D5" w:rsidP="00976B5F">
            <w:pPr>
              <w:rPr>
                <w:rFonts w:ascii="Arial Narrow" w:hAnsi="Arial Narrow" w:cs="Arial"/>
                <w:color w:val="000000"/>
                <w:spacing w:val="0"/>
                <w:sz w:val="16"/>
                <w:szCs w:val="16"/>
                <w:lang w:eastAsia="sq-AL"/>
              </w:rPr>
            </w:pPr>
            <w:r w:rsidRPr="00976B5F">
              <w:rPr>
                <w:rFonts w:ascii="Arial Narrow" w:hAnsi="Arial Narrow" w:cs="Arial"/>
                <w:color w:val="000000"/>
                <w:spacing w:val="0"/>
                <w:sz w:val="16"/>
                <w:szCs w:val="16"/>
                <w:lang w:eastAsia="sq-AL"/>
              </w:rPr>
              <w:t>4719; 474-4778</w:t>
            </w:r>
          </w:p>
        </w:tc>
        <w:tc>
          <w:tcPr>
            <w:tcW w:w="4346" w:type="dxa"/>
            <w:gridSpan w:val="2"/>
            <w:tcBorders>
              <w:top w:val="single" w:sz="8" w:space="0" w:color="CF7B79"/>
              <w:left w:val="nil"/>
              <w:bottom w:val="single" w:sz="8" w:space="0" w:color="CF7B79"/>
              <w:right w:val="nil"/>
            </w:tcBorders>
            <w:shd w:val="clear" w:color="auto" w:fill="auto"/>
            <w:vAlign w:val="center"/>
            <w:hideMark/>
          </w:tcPr>
          <w:p w14:paraId="0489E039" w14:textId="77777777" w:rsidR="00B574D5" w:rsidRPr="00976B5F" w:rsidRDefault="00B574D5" w:rsidP="00A153DD">
            <w:pPr>
              <w:autoSpaceDE w:val="0"/>
              <w:autoSpaceDN w:val="0"/>
              <w:adjustRightInd w:val="0"/>
              <w:rPr>
                <w:rFonts w:ascii="Arial Narrow" w:hAnsi="Arial Narrow" w:cs="Arial"/>
                <w:spacing w:val="0"/>
                <w:sz w:val="16"/>
                <w:szCs w:val="16"/>
                <w:lang w:eastAsia="sq-AL"/>
              </w:rPr>
            </w:pPr>
            <w:r w:rsidRPr="00976B5F">
              <w:rPr>
                <w:rFonts w:ascii="Arial Narrow" w:hAnsi="Arial Narrow" w:cs="Arial"/>
                <w:spacing w:val="0"/>
                <w:sz w:val="16"/>
                <w:szCs w:val="16"/>
                <w:lang w:eastAsia="sq-AL"/>
              </w:rPr>
              <w:t xml:space="preserve">Non-food Products in specialized and </w:t>
            </w:r>
            <w:proofErr w:type="spellStart"/>
            <w:proofErr w:type="gramStart"/>
            <w:r w:rsidRPr="00976B5F">
              <w:rPr>
                <w:rFonts w:ascii="Arial Narrow" w:hAnsi="Arial Narrow" w:cs="Arial"/>
                <w:spacing w:val="0"/>
                <w:sz w:val="16"/>
                <w:szCs w:val="16"/>
                <w:lang w:eastAsia="sq-AL"/>
              </w:rPr>
              <w:t>non specialized</w:t>
            </w:r>
            <w:proofErr w:type="spellEnd"/>
            <w:proofErr w:type="gramEnd"/>
            <w:r w:rsidRPr="00976B5F">
              <w:rPr>
                <w:rFonts w:ascii="Arial Narrow" w:hAnsi="Arial Narrow" w:cs="Arial"/>
                <w:spacing w:val="0"/>
                <w:sz w:val="16"/>
                <w:szCs w:val="16"/>
                <w:lang w:eastAsia="sq-AL"/>
              </w:rPr>
              <w:t xml:space="preserve"> stores</w:t>
            </w:r>
          </w:p>
        </w:tc>
        <w:tc>
          <w:tcPr>
            <w:tcW w:w="1084" w:type="dxa"/>
            <w:tcBorders>
              <w:top w:val="nil"/>
              <w:left w:val="nil"/>
              <w:bottom w:val="single" w:sz="8" w:space="0" w:color="CF7B79"/>
              <w:right w:val="nil"/>
            </w:tcBorders>
            <w:shd w:val="clear" w:color="auto" w:fill="auto"/>
            <w:noWrap/>
            <w:vAlign w:val="center"/>
          </w:tcPr>
          <w:p w14:paraId="386B956B"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-2,2</w:t>
            </w:r>
          </w:p>
        </w:tc>
        <w:tc>
          <w:tcPr>
            <w:tcW w:w="1762" w:type="dxa"/>
            <w:gridSpan w:val="2"/>
            <w:tcBorders>
              <w:top w:val="nil"/>
              <w:left w:val="nil"/>
              <w:bottom w:val="single" w:sz="8" w:space="0" w:color="CF7B79"/>
              <w:right w:val="nil"/>
            </w:tcBorders>
            <w:shd w:val="clear" w:color="auto" w:fill="auto"/>
            <w:noWrap/>
            <w:vAlign w:val="center"/>
          </w:tcPr>
          <w:p w14:paraId="124FF1E1"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3,3</w:t>
            </w:r>
          </w:p>
        </w:tc>
        <w:tc>
          <w:tcPr>
            <w:tcW w:w="1085" w:type="dxa"/>
            <w:tcBorders>
              <w:top w:val="nil"/>
              <w:left w:val="nil"/>
              <w:bottom w:val="single" w:sz="8" w:space="0" w:color="CF7B79"/>
              <w:right w:val="single" w:sz="8" w:space="0" w:color="CF7B79"/>
            </w:tcBorders>
            <w:shd w:val="clear" w:color="auto" w:fill="auto"/>
            <w:noWrap/>
            <w:vAlign w:val="center"/>
          </w:tcPr>
          <w:p w14:paraId="1FFF0D92"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2,0</w:t>
            </w:r>
          </w:p>
        </w:tc>
      </w:tr>
      <w:tr w:rsidR="00B574D5" w:rsidRPr="00976B5F" w14:paraId="23671181" w14:textId="77777777" w:rsidTr="00D166A0">
        <w:trPr>
          <w:trHeight w:val="245"/>
        </w:trPr>
        <w:tc>
          <w:tcPr>
            <w:tcW w:w="1076" w:type="dxa"/>
            <w:tcBorders>
              <w:top w:val="nil"/>
              <w:left w:val="single" w:sz="8" w:space="0" w:color="CF7B79"/>
              <w:bottom w:val="single" w:sz="8" w:space="0" w:color="CF7B79"/>
              <w:right w:val="nil"/>
            </w:tcBorders>
            <w:shd w:val="clear" w:color="000000" w:fill="EFD3D2"/>
            <w:noWrap/>
            <w:vAlign w:val="center"/>
            <w:hideMark/>
          </w:tcPr>
          <w:p w14:paraId="3AB2EDE6" w14:textId="77777777" w:rsidR="00B574D5" w:rsidRPr="00976B5F" w:rsidRDefault="00B574D5" w:rsidP="00976B5F">
            <w:pPr>
              <w:rPr>
                <w:rFonts w:ascii="Arial Narrow" w:hAnsi="Arial Narrow" w:cs="Arial"/>
                <w:b/>
                <w:bCs/>
                <w:color w:val="000000"/>
                <w:spacing w:val="0"/>
                <w:sz w:val="16"/>
                <w:szCs w:val="16"/>
                <w:lang w:eastAsia="sq-AL"/>
              </w:rPr>
            </w:pPr>
            <w:r w:rsidRPr="00976B5F">
              <w:rPr>
                <w:rFonts w:ascii="Arial Narrow" w:hAnsi="Arial Narrow" w:cs="Arial"/>
                <w:b/>
                <w:bCs/>
                <w:color w:val="000000"/>
                <w:spacing w:val="0"/>
                <w:sz w:val="16"/>
                <w:szCs w:val="16"/>
                <w:lang w:eastAsia="sq-AL"/>
              </w:rPr>
              <w:t>473</w:t>
            </w:r>
          </w:p>
        </w:tc>
        <w:tc>
          <w:tcPr>
            <w:tcW w:w="4346" w:type="dxa"/>
            <w:gridSpan w:val="2"/>
            <w:tcBorders>
              <w:top w:val="single" w:sz="8" w:space="0" w:color="CF7B79"/>
              <w:left w:val="nil"/>
              <w:bottom w:val="single" w:sz="8" w:space="0" w:color="CF7B79"/>
              <w:right w:val="nil"/>
            </w:tcBorders>
            <w:shd w:val="clear" w:color="000000" w:fill="EFD3D2"/>
            <w:noWrap/>
            <w:vAlign w:val="center"/>
            <w:hideMark/>
          </w:tcPr>
          <w:p w14:paraId="7D5D5676" w14:textId="77777777" w:rsidR="00B574D5" w:rsidRPr="00976B5F" w:rsidRDefault="00B574D5" w:rsidP="00A153DD">
            <w:pPr>
              <w:rPr>
                <w:rFonts w:ascii="Arial Narrow" w:hAnsi="Arial Narrow" w:cs="Arial"/>
                <w:b/>
                <w:bCs/>
                <w:spacing w:val="0"/>
                <w:sz w:val="16"/>
                <w:szCs w:val="16"/>
                <w:lang w:eastAsia="sq-AL"/>
              </w:rPr>
            </w:pPr>
            <w:r w:rsidRPr="00976B5F">
              <w:rPr>
                <w:rFonts w:ascii="Arial Narrow" w:hAnsi="Arial Narrow" w:cs="Arial"/>
                <w:b/>
                <w:spacing w:val="0"/>
                <w:sz w:val="16"/>
                <w:szCs w:val="16"/>
                <w:lang w:eastAsia="sq-AL"/>
              </w:rPr>
              <w:t xml:space="preserve">Retail sale of </w:t>
            </w:r>
            <w:proofErr w:type="gramStart"/>
            <w:r w:rsidRPr="00976B5F">
              <w:rPr>
                <w:rFonts w:ascii="Arial Narrow" w:hAnsi="Arial Narrow" w:cs="Arial"/>
                <w:b/>
                <w:spacing w:val="0"/>
                <w:sz w:val="16"/>
                <w:szCs w:val="16"/>
                <w:lang w:eastAsia="sq-AL"/>
              </w:rPr>
              <w:t>motor  fuel</w:t>
            </w:r>
            <w:proofErr w:type="gramEnd"/>
            <w:r w:rsidRPr="00976B5F">
              <w:rPr>
                <w:rFonts w:ascii="Arial Narrow" w:hAnsi="Arial Narrow" w:cs="Arial"/>
                <w:b/>
                <w:spacing w:val="0"/>
                <w:sz w:val="16"/>
                <w:szCs w:val="16"/>
                <w:lang w:eastAsia="sq-AL"/>
              </w:rPr>
              <w:t xml:space="preserve">  </w:t>
            </w:r>
          </w:p>
        </w:tc>
        <w:tc>
          <w:tcPr>
            <w:tcW w:w="1084" w:type="dxa"/>
            <w:tcBorders>
              <w:top w:val="nil"/>
              <w:left w:val="nil"/>
              <w:bottom w:val="single" w:sz="8" w:space="0" w:color="CF7B79"/>
              <w:right w:val="nil"/>
            </w:tcBorders>
            <w:shd w:val="clear" w:color="000000" w:fill="EFD3D2"/>
            <w:noWrap/>
            <w:vAlign w:val="center"/>
          </w:tcPr>
          <w:p w14:paraId="00CAD8C5"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1,3</w:t>
            </w:r>
          </w:p>
        </w:tc>
        <w:tc>
          <w:tcPr>
            <w:tcW w:w="1762" w:type="dxa"/>
            <w:gridSpan w:val="2"/>
            <w:tcBorders>
              <w:top w:val="nil"/>
              <w:left w:val="nil"/>
              <w:bottom w:val="single" w:sz="8" w:space="0" w:color="CF7B79"/>
              <w:right w:val="nil"/>
            </w:tcBorders>
            <w:shd w:val="clear" w:color="000000" w:fill="EFD3D2"/>
            <w:noWrap/>
            <w:vAlign w:val="center"/>
          </w:tcPr>
          <w:p w14:paraId="00EAA043"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3,8</w:t>
            </w:r>
          </w:p>
        </w:tc>
        <w:tc>
          <w:tcPr>
            <w:tcW w:w="1085" w:type="dxa"/>
            <w:tcBorders>
              <w:top w:val="nil"/>
              <w:left w:val="nil"/>
              <w:bottom w:val="single" w:sz="8" w:space="0" w:color="CF7B79"/>
              <w:right w:val="single" w:sz="8" w:space="0" w:color="CF7B79"/>
            </w:tcBorders>
            <w:shd w:val="clear" w:color="000000" w:fill="EFD3D2"/>
            <w:noWrap/>
            <w:vAlign w:val="center"/>
          </w:tcPr>
          <w:p w14:paraId="4412E1A3" w14:textId="77777777" w:rsidR="00B574D5" w:rsidRPr="00976B5F" w:rsidRDefault="00B574D5" w:rsidP="00976B5F">
            <w:pPr>
              <w:autoSpaceDE w:val="0"/>
              <w:autoSpaceDN w:val="0"/>
              <w:adjustRightInd w:val="0"/>
              <w:jc w:val="right"/>
              <w:rPr>
                <w:rFonts w:ascii="Arial Narrow" w:hAnsi="Arial Narrow" w:cs="Arial"/>
                <w:b/>
                <w:bCs/>
                <w:color w:val="000000"/>
                <w:spacing w:val="0"/>
                <w:sz w:val="16"/>
                <w:szCs w:val="16"/>
              </w:rPr>
            </w:pPr>
            <w:r w:rsidRPr="00976B5F">
              <w:rPr>
                <w:rFonts w:ascii="Arial Narrow" w:hAnsi="Arial Narrow" w:cs="Arial"/>
                <w:b/>
                <w:bCs/>
                <w:color w:val="000000"/>
                <w:spacing w:val="0"/>
                <w:sz w:val="16"/>
                <w:szCs w:val="16"/>
              </w:rPr>
              <w:t>1,0</w:t>
            </w:r>
          </w:p>
        </w:tc>
      </w:tr>
    </w:tbl>
    <w:p w14:paraId="44174094" w14:textId="77777777" w:rsidR="00833015" w:rsidRPr="00833015" w:rsidRDefault="00833015" w:rsidP="00823ED7">
      <w:pPr>
        <w:pStyle w:val="BodyText"/>
        <w:ind w:left="0" w:firstLine="0"/>
      </w:pPr>
    </w:p>
    <w:p w14:paraId="4B1548E1" w14:textId="77777777" w:rsidR="00A17BEE" w:rsidRPr="00976B5F" w:rsidRDefault="00976B5F" w:rsidP="00976B5F">
      <w:pPr>
        <w:pStyle w:val="Title"/>
        <w:spacing w:line="360" w:lineRule="auto"/>
        <w:rPr>
          <w:rFonts w:cstheme="minorHAnsi"/>
          <w:b/>
          <w:color w:val="7F7F7F" w:themeColor="text1" w:themeTint="80"/>
          <w:sz w:val="20"/>
          <w:szCs w:val="18"/>
        </w:rPr>
      </w:pPr>
      <w:r>
        <w:rPr>
          <w:rFonts w:cstheme="minorHAnsi"/>
          <w:b/>
          <w:color w:val="7F7F7F" w:themeColor="text1" w:themeTint="80"/>
          <w:sz w:val="20"/>
          <w:szCs w:val="18"/>
        </w:rPr>
        <w:lastRenderedPageBreak/>
        <w:t xml:space="preserve">          </w:t>
      </w:r>
      <w:r w:rsidR="00A17BEE" w:rsidRPr="00976B5F">
        <w:rPr>
          <w:rFonts w:cstheme="minorHAnsi"/>
          <w:b/>
          <w:color w:val="7F7F7F" w:themeColor="text1" w:themeTint="80"/>
          <w:sz w:val="20"/>
          <w:szCs w:val="18"/>
        </w:rPr>
        <w:t xml:space="preserve">Tab. </w:t>
      </w:r>
      <w:r w:rsidR="003A3572" w:rsidRPr="00976B5F">
        <w:rPr>
          <w:rFonts w:cstheme="minorHAnsi"/>
          <w:b/>
          <w:color w:val="7F7F7F" w:themeColor="text1" w:themeTint="80"/>
          <w:sz w:val="20"/>
          <w:szCs w:val="18"/>
        </w:rPr>
        <w:t>5</w:t>
      </w:r>
      <w:r w:rsidR="00BD7491" w:rsidRPr="00976B5F">
        <w:rPr>
          <w:rFonts w:cstheme="minorHAnsi"/>
          <w:b/>
          <w:color w:val="7F7F7F" w:themeColor="text1" w:themeTint="80"/>
          <w:sz w:val="20"/>
          <w:szCs w:val="18"/>
        </w:rPr>
        <w:t xml:space="preserve"> </w:t>
      </w:r>
      <w:r w:rsidR="00B62B68" w:rsidRPr="00976B5F">
        <w:rPr>
          <w:rFonts w:cstheme="minorHAnsi"/>
          <w:b/>
          <w:color w:val="7F7F7F" w:themeColor="text1" w:themeTint="80"/>
          <w:sz w:val="20"/>
          <w:szCs w:val="18"/>
        </w:rPr>
        <w:t xml:space="preserve">Monthly value and volume indices on </w:t>
      </w:r>
      <w:r w:rsidR="00140094" w:rsidRPr="00976B5F">
        <w:rPr>
          <w:rFonts w:cstheme="minorHAnsi"/>
          <w:b/>
          <w:color w:val="7F7F7F" w:themeColor="text1" w:themeTint="80"/>
          <w:sz w:val="20"/>
          <w:szCs w:val="18"/>
        </w:rPr>
        <w:t>R</w:t>
      </w:r>
      <w:r w:rsidR="00B62B68" w:rsidRPr="00976B5F">
        <w:rPr>
          <w:rFonts w:cstheme="minorHAnsi"/>
          <w:b/>
          <w:color w:val="7F7F7F" w:themeColor="text1" w:themeTint="80"/>
          <w:sz w:val="20"/>
          <w:szCs w:val="18"/>
        </w:rPr>
        <w:t xml:space="preserve">etail </w:t>
      </w:r>
      <w:r w:rsidR="00140094" w:rsidRPr="00976B5F">
        <w:rPr>
          <w:rFonts w:cstheme="minorHAnsi"/>
          <w:b/>
          <w:color w:val="7F7F7F" w:themeColor="text1" w:themeTint="80"/>
          <w:sz w:val="20"/>
          <w:szCs w:val="18"/>
        </w:rPr>
        <w:t>T</w:t>
      </w:r>
      <w:r w:rsidR="00B62B68" w:rsidRPr="00976B5F">
        <w:rPr>
          <w:rFonts w:cstheme="minorHAnsi"/>
          <w:b/>
          <w:color w:val="7F7F7F" w:themeColor="text1" w:themeTint="80"/>
          <w:sz w:val="20"/>
          <w:szCs w:val="18"/>
        </w:rPr>
        <w:t>rade</w:t>
      </w:r>
      <w:r w:rsidR="00B808FA" w:rsidRPr="00976B5F">
        <w:rPr>
          <w:rFonts w:cstheme="minorHAnsi"/>
          <w:b/>
          <w:color w:val="7F7F7F" w:themeColor="text1" w:themeTint="80"/>
          <w:sz w:val="20"/>
          <w:szCs w:val="18"/>
        </w:rPr>
        <w:t xml:space="preserve"> (seasonally unadjusted)</w:t>
      </w:r>
    </w:p>
    <w:tbl>
      <w:tblPr>
        <w:tblW w:w="9315" w:type="dxa"/>
        <w:tblInd w:w="558" w:type="dxa"/>
        <w:tblBorders>
          <w:top w:val="single" w:sz="8" w:space="0" w:color="CF7B79"/>
          <w:left w:val="single" w:sz="8" w:space="0" w:color="CF7B79"/>
          <w:bottom w:val="single" w:sz="8" w:space="0" w:color="CF7B79"/>
          <w:right w:val="single" w:sz="8" w:space="0" w:color="CF7B79"/>
          <w:insideH w:val="single" w:sz="6" w:space="0" w:color="CF7B79"/>
        </w:tblBorders>
        <w:tblLook w:val="04A0" w:firstRow="1" w:lastRow="0" w:firstColumn="1" w:lastColumn="0" w:noHBand="0" w:noVBand="1"/>
      </w:tblPr>
      <w:tblGrid>
        <w:gridCol w:w="1304"/>
        <w:gridCol w:w="578"/>
        <w:gridCol w:w="1453"/>
        <w:gridCol w:w="994"/>
        <w:gridCol w:w="999"/>
        <w:gridCol w:w="993"/>
        <w:gridCol w:w="999"/>
        <w:gridCol w:w="993"/>
        <w:gridCol w:w="1002"/>
      </w:tblGrid>
      <w:tr w:rsidR="00AD32A9" w:rsidRPr="00906DD0" w14:paraId="2687E771" w14:textId="77777777" w:rsidTr="00AD32A9">
        <w:trPr>
          <w:trHeight w:val="68"/>
        </w:trPr>
        <w:tc>
          <w:tcPr>
            <w:tcW w:w="1882" w:type="dxa"/>
            <w:gridSpan w:val="2"/>
            <w:tcBorders>
              <w:top w:val="nil"/>
              <w:left w:val="nil"/>
              <w:bottom w:val="single" w:sz="6" w:space="0" w:color="CF7B79"/>
            </w:tcBorders>
            <w:shd w:val="clear" w:color="auto" w:fill="auto"/>
            <w:noWrap/>
            <w:vAlign w:val="bottom"/>
            <w:hideMark/>
          </w:tcPr>
          <w:p w14:paraId="0A99B4C9" w14:textId="77777777" w:rsidR="00741515" w:rsidRPr="00906DD0" w:rsidRDefault="00741515" w:rsidP="00693DE4">
            <w:pPr>
              <w:jc w:val="right"/>
              <w:rPr>
                <w:rFonts w:ascii="Arial Narrow" w:hAnsi="Arial Narrow" w:cs="Calibri"/>
                <w:color w:val="000000"/>
                <w:spacing w:val="0"/>
                <w:sz w:val="16"/>
                <w:szCs w:val="16"/>
              </w:rPr>
            </w:pPr>
          </w:p>
        </w:tc>
        <w:tc>
          <w:tcPr>
            <w:tcW w:w="1453" w:type="dxa"/>
            <w:tcBorders>
              <w:top w:val="nil"/>
              <w:bottom w:val="single" w:sz="6" w:space="0" w:color="CF7B79"/>
            </w:tcBorders>
            <w:shd w:val="clear" w:color="auto" w:fill="auto"/>
            <w:noWrap/>
            <w:vAlign w:val="bottom"/>
            <w:hideMark/>
          </w:tcPr>
          <w:p w14:paraId="45B93CB7" w14:textId="77777777" w:rsidR="00741515" w:rsidRPr="00906DD0" w:rsidRDefault="00741515" w:rsidP="00741515">
            <w:pPr>
              <w:rPr>
                <w:rFonts w:ascii="Arial Narrow" w:hAnsi="Arial Narrow" w:cs="Arial"/>
                <w:color w:val="000000"/>
                <w:spacing w:val="0"/>
                <w:sz w:val="16"/>
                <w:szCs w:val="16"/>
              </w:rPr>
            </w:pPr>
          </w:p>
        </w:tc>
        <w:tc>
          <w:tcPr>
            <w:tcW w:w="994" w:type="dxa"/>
            <w:tcBorders>
              <w:top w:val="nil"/>
              <w:bottom w:val="single" w:sz="6" w:space="0" w:color="CF7B79"/>
            </w:tcBorders>
            <w:shd w:val="clear" w:color="auto" w:fill="auto"/>
            <w:noWrap/>
            <w:vAlign w:val="bottom"/>
            <w:hideMark/>
          </w:tcPr>
          <w:p w14:paraId="6E5B0D12" w14:textId="77777777" w:rsidR="00741515" w:rsidRPr="00906DD0" w:rsidRDefault="00741515" w:rsidP="00741515">
            <w:pPr>
              <w:rPr>
                <w:rFonts w:ascii="Arial Narrow" w:hAnsi="Arial Narrow" w:cs="Arial"/>
                <w:color w:val="000000"/>
                <w:spacing w:val="0"/>
                <w:sz w:val="16"/>
                <w:szCs w:val="16"/>
              </w:rPr>
            </w:pPr>
          </w:p>
        </w:tc>
        <w:tc>
          <w:tcPr>
            <w:tcW w:w="998" w:type="dxa"/>
            <w:tcBorders>
              <w:top w:val="nil"/>
              <w:bottom w:val="single" w:sz="6" w:space="0" w:color="CF7B79"/>
            </w:tcBorders>
            <w:shd w:val="clear" w:color="auto" w:fill="auto"/>
            <w:noWrap/>
            <w:vAlign w:val="bottom"/>
            <w:hideMark/>
          </w:tcPr>
          <w:p w14:paraId="36116E84" w14:textId="77777777" w:rsidR="00741515" w:rsidRPr="00906DD0" w:rsidRDefault="00741515" w:rsidP="00741515">
            <w:pPr>
              <w:rPr>
                <w:rFonts w:ascii="Arial Narrow" w:hAnsi="Arial Narrow" w:cs="Arial"/>
                <w:color w:val="000000"/>
                <w:spacing w:val="0"/>
                <w:sz w:val="16"/>
                <w:szCs w:val="16"/>
              </w:rPr>
            </w:pPr>
          </w:p>
        </w:tc>
        <w:tc>
          <w:tcPr>
            <w:tcW w:w="993" w:type="dxa"/>
            <w:tcBorders>
              <w:top w:val="nil"/>
              <w:bottom w:val="single" w:sz="6" w:space="0" w:color="CF7B79"/>
            </w:tcBorders>
            <w:shd w:val="clear" w:color="auto" w:fill="auto"/>
            <w:noWrap/>
            <w:vAlign w:val="bottom"/>
            <w:hideMark/>
          </w:tcPr>
          <w:p w14:paraId="55C984E9" w14:textId="77777777" w:rsidR="00741515" w:rsidRPr="00906DD0" w:rsidRDefault="00741515" w:rsidP="00741515">
            <w:pPr>
              <w:rPr>
                <w:rFonts w:ascii="Arial Narrow" w:hAnsi="Arial Narrow" w:cs="Arial"/>
                <w:color w:val="000000"/>
                <w:spacing w:val="0"/>
                <w:sz w:val="16"/>
                <w:szCs w:val="16"/>
              </w:rPr>
            </w:pPr>
          </w:p>
        </w:tc>
        <w:tc>
          <w:tcPr>
            <w:tcW w:w="998" w:type="dxa"/>
            <w:tcBorders>
              <w:top w:val="nil"/>
              <w:bottom w:val="single" w:sz="6" w:space="0" w:color="CF7B79"/>
            </w:tcBorders>
            <w:shd w:val="clear" w:color="auto" w:fill="auto"/>
            <w:noWrap/>
            <w:vAlign w:val="bottom"/>
            <w:hideMark/>
          </w:tcPr>
          <w:p w14:paraId="2EFCB902" w14:textId="77777777" w:rsidR="00741515" w:rsidRPr="00906DD0" w:rsidRDefault="00741515" w:rsidP="00741515">
            <w:pPr>
              <w:rPr>
                <w:rFonts w:ascii="Arial Narrow" w:hAnsi="Arial Narrow" w:cs="Arial"/>
                <w:color w:val="000000"/>
                <w:spacing w:val="0"/>
                <w:sz w:val="16"/>
                <w:szCs w:val="16"/>
              </w:rPr>
            </w:pPr>
          </w:p>
        </w:tc>
        <w:tc>
          <w:tcPr>
            <w:tcW w:w="993" w:type="dxa"/>
            <w:tcBorders>
              <w:top w:val="nil"/>
              <w:bottom w:val="single" w:sz="6" w:space="0" w:color="CF7B79"/>
            </w:tcBorders>
            <w:shd w:val="clear" w:color="auto" w:fill="auto"/>
            <w:noWrap/>
            <w:vAlign w:val="bottom"/>
            <w:hideMark/>
          </w:tcPr>
          <w:p w14:paraId="30525DD1" w14:textId="77777777" w:rsidR="00741515" w:rsidRPr="00906DD0" w:rsidRDefault="00741515" w:rsidP="004B73B4">
            <w:pPr>
              <w:jc w:val="right"/>
              <w:rPr>
                <w:rFonts w:ascii="Arial Narrow" w:hAnsi="Arial Narrow" w:cs="Arial"/>
                <w:color w:val="000000"/>
                <w:spacing w:val="0"/>
                <w:sz w:val="16"/>
                <w:szCs w:val="16"/>
              </w:rPr>
            </w:pPr>
          </w:p>
        </w:tc>
        <w:tc>
          <w:tcPr>
            <w:tcW w:w="1000" w:type="dxa"/>
            <w:tcBorders>
              <w:top w:val="nil"/>
              <w:bottom w:val="single" w:sz="6" w:space="0" w:color="CF7B79"/>
              <w:right w:val="nil"/>
            </w:tcBorders>
            <w:shd w:val="clear" w:color="auto" w:fill="auto"/>
            <w:noWrap/>
            <w:vAlign w:val="bottom"/>
            <w:hideMark/>
          </w:tcPr>
          <w:p w14:paraId="62E5D777" w14:textId="77777777" w:rsidR="00741515" w:rsidRPr="00906DD0" w:rsidRDefault="004B73B4" w:rsidP="004B73B4">
            <w:pPr>
              <w:jc w:val="right"/>
              <w:rPr>
                <w:rFonts w:ascii="Arial Narrow" w:hAnsi="Arial Narrow" w:cs="Calibri"/>
                <w:color w:val="000000"/>
                <w:spacing w:val="0"/>
                <w:sz w:val="16"/>
                <w:szCs w:val="16"/>
              </w:rPr>
            </w:pPr>
            <w:r w:rsidRPr="00906DD0">
              <w:rPr>
                <w:rFonts w:ascii="Arial Narrow" w:hAnsi="Arial Narrow" w:cs="Calibri"/>
                <w:color w:val="000000"/>
                <w:spacing w:val="0"/>
                <w:sz w:val="16"/>
                <w:szCs w:val="16"/>
              </w:rPr>
              <w:t>20</w:t>
            </w:r>
            <w:r w:rsidR="002604EA" w:rsidRPr="00906DD0">
              <w:rPr>
                <w:rFonts w:ascii="Arial Narrow" w:hAnsi="Arial Narrow" w:cs="Calibri"/>
                <w:color w:val="000000"/>
                <w:spacing w:val="0"/>
                <w:sz w:val="16"/>
                <w:szCs w:val="16"/>
              </w:rPr>
              <w:t>21</w:t>
            </w:r>
            <w:r w:rsidRPr="00906DD0">
              <w:rPr>
                <w:rFonts w:ascii="Arial Narrow" w:hAnsi="Arial Narrow" w:cs="Calibri"/>
                <w:color w:val="000000"/>
                <w:spacing w:val="0"/>
                <w:sz w:val="16"/>
                <w:szCs w:val="16"/>
              </w:rPr>
              <w:t>=100</w:t>
            </w:r>
          </w:p>
        </w:tc>
      </w:tr>
      <w:tr w:rsidR="00741515" w:rsidRPr="00906DD0" w14:paraId="1E630D70" w14:textId="77777777" w:rsidTr="00AD32A9">
        <w:trPr>
          <w:trHeight w:val="348"/>
        </w:trPr>
        <w:tc>
          <w:tcPr>
            <w:tcW w:w="1304" w:type="dxa"/>
            <w:tcBorders>
              <w:top w:val="single" w:sz="6" w:space="0" w:color="CF7B79"/>
            </w:tcBorders>
            <w:shd w:val="clear" w:color="000000" w:fill="C0504D"/>
            <w:noWrap/>
            <w:vAlign w:val="center"/>
            <w:hideMark/>
          </w:tcPr>
          <w:p w14:paraId="46C6B384" w14:textId="77777777" w:rsidR="00741515" w:rsidRPr="00906DD0" w:rsidRDefault="007C1C9E" w:rsidP="00976B5F">
            <w:pPr>
              <w:rPr>
                <w:rFonts w:ascii="Arial Narrow" w:hAnsi="Arial Narrow" w:cs="Calibri"/>
                <w:b/>
                <w:color w:val="FFFFFF"/>
                <w:spacing w:val="0"/>
                <w:sz w:val="16"/>
                <w:szCs w:val="16"/>
              </w:rPr>
            </w:pPr>
            <w:r w:rsidRPr="00906DD0">
              <w:rPr>
                <w:rFonts w:ascii="Arial Narrow" w:hAnsi="Arial Narrow" w:cs="Calibri"/>
                <w:color w:val="FFFFFF"/>
                <w:spacing w:val="0"/>
                <w:sz w:val="16"/>
                <w:szCs w:val="16"/>
              </w:rPr>
              <w:t>NACE Rev. 2</w:t>
            </w:r>
          </w:p>
        </w:tc>
        <w:tc>
          <w:tcPr>
            <w:tcW w:w="8011" w:type="dxa"/>
            <w:gridSpan w:val="8"/>
            <w:tcBorders>
              <w:top w:val="single" w:sz="6" w:space="0" w:color="CF7B79"/>
            </w:tcBorders>
            <w:shd w:val="clear" w:color="000000" w:fill="C0504D"/>
            <w:noWrap/>
            <w:vAlign w:val="center"/>
            <w:hideMark/>
          </w:tcPr>
          <w:p w14:paraId="4FE1A425" w14:textId="77777777" w:rsidR="00741515" w:rsidRPr="00906DD0" w:rsidRDefault="007C1C9E" w:rsidP="00741515">
            <w:pPr>
              <w:jc w:val="center"/>
              <w:rPr>
                <w:rFonts w:ascii="Arial Narrow" w:hAnsi="Arial Narrow" w:cs="Calibri"/>
                <w:b/>
                <w:color w:val="FFFFFF"/>
                <w:spacing w:val="0"/>
                <w:sz w:val="16"/>
                <w:szCs w:val="16"/>
              </w:rPr>
            </w:pPr>
            <w:r w:rsidRPr="00906DD0">
              <w:rPr>
                <w:rFonts w:ascii="Arial Narrow" w:hAnsi="Arial Narrow" w:cs="Calibri"/>
                <w:color w:val="FFFFFF"/>
                <w:spacing w:val="0"/>
                <w:sz w:val="16"/>
                <w:szCs w:val="16"/>
              </w:rPr>
              <w:t>Group 47</w:t>
            </w:r>
          </w:p>
        </w:tc>
      </w:tr>
      <w:tr w:rsidR="00AD32A9" w:rsidRPr="00906DD0" w14:paraId="453DC9D3" w14:textId="77777777" w:rsidTr="00AD32A9">
        <w:trPr>
          <w:trHeight w:val="170"/>
        </w:trPr>
        <w:tc>
          <w:tcPr>
            <w:tcW w:w="1304" w:type="dxa"/>
            <w:shd w:val="clear" w:color="000000" w:fill="E6B9B8"/>
            <w:noWrap/>
            <w:vAlign w:val="center"/>
            <w:hideMark/>
          </w:tcPr>
          <w:p w14:paraId="59074E0A" w14:textId="77777777" w:rsidR="0008516C" w:rsidRPr="00906DD0" w:rsidRDefault="0008516C" w:rsidP="00976B5F">
            <w:pPr>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Year</w:t>
            </w:r>
          </w:p>
        </w:tc>
        <w:tc>
          <w:tcPr>
            <w:tcW w:w="2031" w:type="dxa"/>
            <w:gridSpan w:val="2"/>
            <w:shd w:val="clear" w:color="000000" w:fill="E6B9B8"/>
            <w:noWrap/>
            <w:vAlign w:val="center"/>
            <w:hideMark/>
          </w:tcPr>
          <w:p w14:paraId="0849B2FF" w14:textId="77777777" w:rsidR="0008516C" w:rsidRPr="00906DD0" w:rsidRDefault="0008516C" w:rsidP="0008516C">
            <w:pPr>
              <w:jc w:val="center"/>
              <w:rPr>
                <w:rFonts w:ascii="Arial Narrow" w:hAnsi="Arial Narrow"/>
                <w:sz w:val="16"/>
                <w:szCs w:val="16"/>
              </w:rPr>
            </w:pPr>
            <w:r w:rsidRPr="00906DD0">
              <w:rPr>
                <w:rFonts w:ascii="Arial Narrow" w:hAnsi="Arial Narrow" w:cs="Calibri"/>
                <w:b/>
                <w:bCs/>
                <w:spacing w:val="0"/>
                <w:sz w:val="16"/>
                <w:szCs w:val="16"/>
              </w:rPr>
              <w:t>2021</w:t>
            </w:r>
          </w:p>
        </w:tc>
        <w:tc>
          <w:tcPr>
            <w:tcW w:w="1993" w:type="dxa"/>
            <w:gridSpan w:val="2"/>
            <w:shd w:val="clear" w:color="000000" w:fill="E6B9B8"/>
            <w:noWrap/>
            <w:vAlign w:val="center"/>
            <w:hideMark/>
          </w:tcPr>
          <w:p w14:paraId="0E64A08E" w14:textId="77777777" w:rsidR="0008516C" w:rsidRPr="00906DD0" w:rsidRDefault="0008516C" w:rsidP="0008516C">
            <w:pPr>
              <w:jc w:val="center"/>
              <w:rPr>
                <w:rFonts w:ascii="Arial Narrow" w:hAnsi="Arial Narrow"/>
                <w:sz w:val="16"/>
                <w:szCs w:val="16"/>
              </w:rPr>
            </w:pPr>
            <w:r w:rsidRPr="00906DD0">
              <w:rPr>
                <w:rFonts w:ascii="Arial Narrow" w:hAnsi="Arial Narrow" w:cs="Calibri"/>
                <w:b/>
                <w:bCs/>
                <w:spacing w:val="0"/>
                <w:sz w:val="16"/>
                <w:szCs w:val="16"/>
              </w:rPr>
              <w:t>2022</w:t>
            </w:r>
          </w:p>
        </w:tc>
        <w:tc>
          <w:tcPr>
            <w:tcW w:w="1992" w:type="dxa"/>
            <w:gridSpan w:val="2"/>
            <w:shd w:val="clear" w:color="000000" w:fill="E6B9B8"/>
            <w:noWrap/>
            <w:vAlign w:val="center"/>
            <w:hideMark/>
          </w:tcPr>
          <w:p w14:paraId="457018BD" w14:textId="77777777" w:rsidR="0008516C" w:rsidRPr="00906DD0" w:rsidRDefault="0008516C" w:rsidP="0008516C">
            <w:pPr>
              <w:jc w:val="center"/>
              <w:rPr>
                <w:rFonts w:ascii="Arial Narrow" w:hAnsi="Arial Narrow"/>
                <w:sz w:val="16"/>
                <w:szCs w:val="16"/>
              </w:rPr>
            </w:pPr>
            <w:r w:rsidRPr="00906DD0">
              <w:rPr>
                <w:rFonts w:ascii="Arial Narrow" w:hAnsi="Arial Narrow" w:cs="Calibri"/>
                <w:b/>
                <w:bCs/>
                <w:spacing w:val="0"/>
                <w:sz w:val="16"/>
                <w:szCs w:val="16"/>
              </w:rPr>
              <w:t>2023</w:t>
            </w:r>
          </w:p>
        </w:tc>
        <w:tc>
          <w:tcPr>
            <w:tcW w:w="1994" w:type="dxa"/>
            <w:gridSpan w:val="2"/>
            <w:shd w:val="clear" w:color="000000" w:fill="E6B9B8"/>
            <w:noWrap/>
            <w:vAlign w:val="center"/>
            <w:hideMark/>
          </w:tcPr>
          <w:p w14:paraId="7871EA7E" w14:textId="77777777" w:rsidR="0008516C" w:rsidRPr="00906DD0" w:rsidRDefault="0008516C" w:rsidP="0008516C">
            <w:pPr>
              <w:jc w:val="center"/>
              <w:rPr>
                <w:rFonts w:ascii="Arial Narrow" w:hAnsi="Arial Narrow"/>
                <w:sz w:val="16"/>
                <w:szCs w:val="16"/>
              </w:rPr>
            </w:pPr>
            <w:r w:rsidRPr="00906DD0">
              <w:rPr>
                <w:rFonts w:ascii="Arial Narrow" w:hAnsi="Arial Narrow" w:cs="Calibri"/>
                <w:b/>
                <w:bCs/>
                <w:spacing w:val="0"/>
                <w:sz w:val="16"/>
                <w:szCs w:val="16"/>
              </w:rPr>
              <w:t>2024</w:t>
            </w:r>
          </w:p>
        </w:tc>
      </w:tr>
      <w:tr w:rsidR="00AD32A9" w:rsidRPr="00906DD0" w14:paraId="08538D67" w14:textId="77777777" w:rsidTr="00AD32A9">
        <w:trPr>
          <w:trHeight w:val="253"/>
        </w:trPr>
        <w:tc>
          <w:tcPr>
            <w:tcW w:w="1304" w:type="dxa"/>
            <w:shd w:val="clear" w:color="000000" w:fill="FFFFFF"/>
            <w:vAlign w:val="center"/>
            <w:hideMark/>
          </w:tcPr>
          <w:p w14:paraId="6E748CC6" w14:textId="77777777" w:rsidR="00F2646A" w:rsidRPr="00906DD0" w:rsidRDefault="00F2646A" w:rsidP="00976B5F">
            <w:pPr>
              <w:rPr>
                <w:rFonts w:ascii="Arial Narrow" w:hAnsi="Arial Narrow" w:cs="Calibri"/>
                <w:color w:val="000000"/>
                <w:spacing w:val="0"/>
                <w:sz w:val="16"/>
                <w:szCs w:val="16"/>
              </w:rPr>
            </w:pPr>
            <w:r w:rsidRPr="00906DD0">
              <w:rPr>
                <w:rFonts w:ascii="Arial Narrow" w:hAnsi="Arial Narrow" w:cs="Arial"/>
                <w:spacing w:val="0"/>
                <w:sz w:val="16"/>
                <w:szCs w:val="16"/>
              </w:rPr>
              <w:t>Month</w:t>
            </w:r>
          </w:p>
        </w:tc>
        <w:tc>
          <w:tcPr>
            <w:tcW w:w="0" w:type="auto"/>
            <w:shd w:val="clear" w:color="000000" w:fill="FFFFFF"/>
            <w:vAlign w:val="center"/>
            <w:hideMark/>
          </w:tcPr>
          <w:p w14:paraId="08498211"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Value</w:t>
            </w:r>
          </w:p>
        </w:tc>
        <w:tc>
          <w:tcPr>
            <w:tcW w:w="1453" w:type="dxa"/>
            <w:shd w:val="clear" w:color="000000" w:fill="FFFFFF"/>
            <w:vAlign w:val="center"/>
            <w:hideMark/>
          </w:tcPr>
          <w:p w14:paraId="070F7CA7"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Volume </w:t>
            </w:r>
          </w:p>
        </w:tc>
        <w:tc>
          <w:tcPr>
            <w:tcW w:w="994" w:type="dxa"/>
            <w:shd w:val="clear" w:color="000000" w:fill="FFFFFF"/>
            <w:vAlign w:val="center"/>
            <w:hideMark/>
          </w:tcPr>
          <w:p w14:paraId="782DC82A"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Value </w:t>
            </w:r>
          </w:p>
        </w:tc>
        <w:tc>
          <w:tcPr>
            <w:tcW w:w="998" w:type="dxa"/>
            <w:shd w:val="clear" w:color="000000" w:fill="FFFFFF"/>
            <w:vAlign w:val="center"/>
            <w:hideMark/>
          </w:tcPr>
          <w:p w14:paraId="0F64E7A0"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  Value</w:t>
            </w:r>
          </w:p>
        </w:tc>
        <w:tc>
          <w:tcPr>
            <w:tcW w:w="993" w:type="dxa"/>
            <w:shd w:val="clear" w:color="000000" w:fill="FFFFFF"/>
            <w:vAlign w:val="center"/>
            <w:hideMark/>
          </w:tcPr>
          <w:p w14:paraId="2D169C0D"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Volume </w:t>
            </w:r>
          </w:p>
        </w:tc>
        <w:tc>
          <w:tcPr>
            <w:tcW w:w="998" w:type="dxa"/>
            <w:shd w:val="clear" w:color="000000" w:fill="FFFFFF"/>
            <w:vAlign w:val="center"/>
            <w:hideMark/>
          </w:tcPr>
          <w:p w14:paraId="576D57AB"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Value </w:t>
            </w:r>
          </w:p>
        </w:tc>
        <w:tc>
          <w:tcPr>
            <w:tcW w:w="993" w:type="dxa"/>
            <w:shd w:val="clear" w:color="000000" w:fill="FFFFFF"/>
            <w:vAlign w:val="center"/>
            <w:hideMark/>
          </w:tcPr>
          <w:p w14:paraId="18C916C3"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Value </w:t>
            </w:r>
          </w:p>
        </w:tc>
        <w:tc>
          <w:tcPr>
            <w:tcW w:w="1000" w:type="dxa"/>
            <w:shd w:val="clear" w:color="000000" w:fill="FFFFFF"/>
            <w:vAlign w:val="center"/>
            <w:hideMark/>
          </w:tcPr>
          <w:p w14:paraId="757AEFEF"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Volume </w:t>
            </w:r>
          </w:p>
        </w:tc>
      </w:tr>
      <w:tr w:rsidR="00AD32A9" w:rsidRPr="00906DD0" w14:paraId="7CB5DAB2" w14:textId="77777777" w:rsidTr="00AD32A9">
        <w:trPr>
          <w:trHeight w:val="242"/>
        </w:trPr>
        <w:tc>
          <w:tcPr>
            <w:tcW w:w="1304" w:type="dxa"/>
            <w:shd w:val="clear" w:color="000000" w:fill="FFFFFF"/>
            <w:noWrap/>
            <w:vAlign w:val="center"/>
            <w:hideMark/>
          </w:tcPr>
          <w:p w14:paraId="0864595A" w14:textId="77777777" w:rsidR="002604EA" w:rsidRPr="00906DD0" w:rsidRDefault="002604EA"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1</w:t>
            </w:r>
          </w:p>
        </w:tc>
        <w:tc>
          <w:tcPr>
            <w:tcW w:w="0" w:type="auto"/>
            <w:shd w:val="clear" w:color="000000" w:fill="FFFFFF"/>
            <w:noWrap/>
            <w:hideMark/>
          </w:tcPr>
          <w:p w14:paraId="0CC47644"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80.0</w:t>
            </w:r>
          </w:p>
        </w:tc>
        <w:tc>
          <w:tcPr>
            <w:tcW w:w="1453" w:type="dxa"/>
            <w:shd w:val="clear" w:color="000000" w:fill="FFFFFF"/>
            <w:noWrap/>
            <w:hideMark/>
          </w:tcPr>
          <w:p w14:paraId="67F9B464"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82.4</w:t>
            </w:r>
          </w:p>
        </w:tc>
        <w:tc>
          <w:tcPr>
            <w:tcW w:w="994" w:type="dxa"/>
            <w:shd w:val="clear" w:color="000000" w:fill="FFFFFF"/>
            <w:noWrap/>
            <w:hideMark/>
          </w:tcPr>
          <w:p w14:paraId="718A482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92.0</w:t>
            </w:r>
          </w:p>
        </w:tc>
        <w:tc>
          <w:tcPr>
            <w:tcW w:w="998" w:type="dxa"/>
            <w:shd w:val="clear" w:color="000000" w:fill="FFFFFF"/>
            <w:noWrap/>
            <w:hideMark/>
          </w:tcPr>
          <w:p w14:paraId="60FFDD1B"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88.3</w:t>
            </w:r>
          </w:p>
        </w:tc>
        <w:tc>
          <w:tcPr>
            <w:tcW w:w="993" w:type="dxa"/>
            <w:shd w:val="clear" w:color="000000" w:fill="FFFFFF"/>
            <w:noWrap/>
            <w:hideMark/>
          </w:tcPr>
          <w:p w14:paraId="52D25143"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105.3</w:t>
            </w:r>
          </w:p>
        </w:tc>
        <w:tc>
          <w:tcPr>
            <w:tcW w:w="998" w:type="dxa"/>
            <w:shd w:val="clear" w:color="000000" w:fill="FFFFFF"/>
            <w:noWrap/>
            <w:hideMark/>
          </w:tcPr>
          <w:p w14:paraId="69846C3A"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94.7</w:t>
            </w:r>
          </w:p>
        </w:tc>
        <w:tc>
          <w:tcPr>
            <w:tcW w:w="993" w:type="dxa"/>
            <w:shd w:val="clear" w:color="000000" w:fill="FFFFFF"/>
            <w:noWrap/>
            <w:vAlign w:val="center"/>
          </w:tcPr>
          <w:p w14:paraId="1838D4B3"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108</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9</w:t>
            </w:r>
          </w:p>
        </w:tc>
        <w:tc>
          <w:tcPr>
            <w:tcW w:w="1000" w:type="dxa"/>
            <w:shd w:val="clear" w:color="000000" w:fill="FFFFFF"/>
            <w:noWrap/>
            <w:vAlign w:val="center"/>
          </w:tcPr>
          <w:p w14:paraId="57449285"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96</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8</w:t>
            </w:r>
          </w:p>
        </w:tc>
      </w:tr>
      <w:tr w:rsidR="00AD32A9" w:rsidRPr="00906DD0" w14:paraId="4ADCEBB9" w14:textId="77777777" w:rsidTr="00AD32A9">
        <w:trPr>
          <w:trHeight w:val="253"/>
        </w:trPr>
        <w:tc>
          <w:tcPr>
            <w:tcW w:w="1304" w:type="dxa"/>
            <w:shd w:val="clear" w:color="000000" w:fill="FFFFFF"/>
            <w:vAlign w:val="center"/>
            <w:hideMark/>
          </w:tcPr>
          <w:p w14:paraId="6793CB75" w14:textId="77777777" w:rsidR="002604EA" w:rsidRPr="00906DD0" w:rsidRDefault="002604EA"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2</w:t>
            </w:r>
          </w:p>
        </w:tc>
        <w:tc>
          <w:tcPr>
            <w:tcW w:w="0" w:type="auto"/>
            <w:shd w:val="clear" w:color="000000" w:fill="FFFFFF"/>
            <w:noWrap/>
            <w:hideMark/>
          </w:tcPr>
          <w:p w14:paraId="2BF13DD1"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81.3</w:t>
            </w:r>
          </w:p>
        </w:tc>
        <w:tc>
          <w:tcPr>
            <w:tcW w:w="1453" w:type="dxa"/>
            <w:shd w:val="clear" w:color="000000" w:fill="FFFFFF"/>
            <w:noWrap/>
            <w:hideMark/>
          </w:tcPr>
          <w:p w14:paraId="60DD4D7F"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82.6</w:t>
            </w:r>
          </w:p>
        </w:tc>
        <w:tc>
          <w:tcPr>
            <w:tcW w:w="994" w:type="dxa"/>
            <w:shd w:val="clear" w:color="000000" w:fill="FFFFFF"/>
            <w:noWrap/>
            <w:hideMark/>
          </w:tcPr>
          <w:p w14:paraId="24F2E16C"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94.7</w:t>
            </w:r>
          </w:p>
        </w:tc>
        <w:tc>
          <w:tcPr>
            <w:tcW w:w="998" w:type="dxa"/>
            <w:shd w:val="clear" w:color="000000" w:fill="FFFFFF"/>
            <w:noWrap/>
            <w:hideMark/>
          </w:tcPr>
          <w:p w14:paraId="14BEAF60"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89.2</w:t>
            </w:r>
          </w:p>
        </w:tc>
        <w:tc>
          <w:tcPr>
            <w:tcW w:w="993" w:type="dxa"/>
            <w:shd w:val="clear" w:color="000000" w:fill="FFFFFF"/>
            <w:noWrap/>
            <w:hideMark/>
          </w:tcPr>
          <w:p w14:paraId="725A9FC2"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101.5</w:t>
            </w:r>
          </w:p>
        </w:tc>
        <w:tc>
          <w:tcPr>
            <w:tcW w:w="998" w:type="dxa"/>
            <w:shd w:val="clear" w:color="000000" w:fill="FFFFFF"/>
            <w:noWrap/>
            <w:hideMark/>
          </w:tcPr>
          <w:p w14:paraId="19AFC3EC"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91.3</w:t>
            </w:r>
          </w:p>
        </w:tc>
        <w:tc>
          <w:tcPr>
            <w:tcW w:w="993" w:type="dxa"/>
            <w:shd w:val="clear" w:color="000000" w:fill="FFFFFF"/>
            <w:noWrap/>
            <w:vAlign w:val="center"/>
          </w:tcPr>
          <w:p w14:paraId="06FC04B0"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109</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9</w:t>
            </w:r>
          </w:p>
        </w:tc>
        <w:tc>
          <w:tcPr>
            <w:tcW w:w="1000" w:type="dxa"/>
            <w:shd w:val="clear" w:color="000000" w:fill="FFFFFF"/>
            <w:noWrap/>
            <w:vAlign w:val="center"/>
          </w:tcPr>
          <w:p w14:paraId="0D4C8026"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97</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5</w:t>
            </w:r>
          </w:p>
        </w:tc>
      </w:tr>
      <w:tr w:rsidR="00AD32A9" w:rsidRPr="00906DD0" w14:paraId="04E093E7" w14:textId="77777777" w:rsidTr="00AD32A9">
        <w:trPr>
          <w:trHeight w:val="253"/>
        </w:trPr>
        <w:tc>
          <w:tcPr>
            <w:tcW w:w="1304" w:type="dxa"/>
            <w:shd w:val="clear" w:color="000000" w:fill="FFFFFF"/>
            <w:vAlign w:val="center"/>
            <w:hideMark/>
          </w:tcPr>
          <w:p w14:paraId="184C01B5" w14:textId="77777777" w:rsidR="002604EA" w:rsidRPr="00906DD0" w:rsidRDefault="002604EA"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3</w:t>
            </w:r>
          </w:p>
        </w:tc>
        <w:tc>
          <w:tcPr>
            <w:tcW w:w="0" w:type="auto"/>
            <w:shd w:val="clear" w:color="000000" w:fill="FFFFFF"/>
            <w:noWrap/>
            <w:hideMark/>
          </w:tcPr>
          <w:p w14:paraId="36EA4D01"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93.8</w:t>
            </w:r>
          </w:p>
        </w:tc>
        <w:tc>
          <w:tcPr>
            <w:tcW w:w="1453" w:type="dxa"/>
            <w:shd w:val="clear" w:color="000000" w:fill="FFFFFF"/>
            <w:noWrap/>
            <w:hideMark/>
          </w:tcPr>
          <w:p w14:paraId="5598E771"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94.8</w:t>
            </w:r>
          </w:p>
        </w:tc>
        <w:tc>
          <w:tcPr>
            <w:tcW w:w="994" w:type="dxa"/>
            <w:shd w:val="clear" w:color="000000" w:fill="FFFFFF"/>
            <w:noWrap/>
            <w:hideMark/>
          </w:tcPr>
          <w:p w14:paraId="65F3D036"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107.1</w:t>
            </w:r>
          </w:p>
        </w:tc>
        <w:tc>
          <w:tcPr>
            <w:tcW w:w="998" w:type="dxa"/>
            <w:shd w:val="clear" w:color="000000" w:fill="FFFFFF"/>
            <w:noWrap/>
            <w:hideMark/>
          </w:tcPr>
          <w:p w14:paraId="5587929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96.0</w:t>
            </w:r>
          </w:p>
        </w:tc>
        <w:tc>
          <w:tcPr>
            <w:tcW w:w="993" w:type="dxa"/>
            <w:shd w:val="clear" w:color="000000" w:fill="FFFFFF"/>
            <w:noWrap/>
            <w:hideMark/>
          </w:tcPr>
          <w:p w14:paraId="4D10798F"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112.1</w:t>
            </w:r>
          </w:p>
        </w:tc>
        <w:tc>
          <w:tcPr>
            <w:tcW w:w="998" w:type="dxa"/>
            <w:shd w:val="clear" w:color="000000" w:fill="FFFFFF"/>
            <w:noWrap/>
            <w:hideMark/>
          </w:tcPr>
          <w:p w14:paraId="0C144BB4"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100.5</w:t>
            </w:r>
          </w:p>
        </w:tc>
        <w:tc>
          <w:tcPr>
            <w:tcW w:w="993" w:type="dxa"/>
            <w:shd w:val="clear" w:color="000000" w:fill="FFFFFF"/>
            <w:noWrap/>
            <w:vAlign w:val="center"/>
          </w:tcPr>
          <w:p w14:paraId="01A8E953"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120</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3</w:t>
            </w:r>
          </w:p>
        </w:tc>
        <w:tc>
          <w:tcPr>
            <w:tcW w:w="1000" w:type="dxa"/>
            <w:shd w:val="clear" w:color="000000" w:fill="FFFFFF"/>
            <w:noWrap/>
            <w:vAlign w:val="center"/>
          </w:tcPr>
          <w:p w14:paraId="480BB9B8"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106</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3</w:t>
            </w:r>
          </w:p>
        </w:tc>
      </w:tr>
      <w:tr w:rsidR="00AD32A9" w:rsidRPr="00906DD0" w14:paraId="5EE25E1C" w14:textId="77777777" w:rsidTr="00AD32A9">
        <w:trPr>
          <w:trHeight w:val="253"/>
        </w:trPr>
        <w:tc>
          <w:tcPr>
            <w:tcW w:w="1304" w:type="dxa"/>
            <w:shd w:val="clear" w:color="000000" w:fill="FFFFFF"/>
            <w:vAlign w:val="center"/>
            <w:hideMark/>
          </w:tcPr>
          <w:p w14:paraId="3696AB82" w14:textId="77777777" w:rsidR="0064668E" w:rsidRPr="00906DD0" w:rsidRDefault="0064668E"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4</w:t>
            </w:r>
          </w:p>
        </w:tc>
        <w:tc>
          <w:tcPr>
            <w:tcW w:w="0" w:type="auto"/>
            <w:shd w:val="clear" w:color="000000" w:fill="FFFFFF"/>
            <w:noWrap/>
            <w:hideMark/>
          </w:tcPr>
          <w:p w14:paraId="4D3E629B"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85.9</w:t>
            </w:r>
          </w:p>
        </w:tc>
        <w:tc>
          <w:tcPr>
            <w:tcW w:w="1453" w:type="dxa"/>
            <w:shd w:val="clear" w:color="000000" w:fill="FFFFFF"/>
            <w:noWrap/>
            <w:hideMark/>
          </w:tcPr>
          <w:p w14:paraId="6D59BFFA"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86.7</w:t>
            </w:r>
          </w:p>
        </w:tc>
        <w:tc>
          <w:tcPr>
            <w:tcW w:w="994" w:type="dxa"/>
            <w:shd w:val="clear" w:color="000000" w:fill="FFFFFF"/>
            <w:noWrap/>
            <w:hideMark/>
          </w:tcPr>
          <w:p w14:paraId="2726DAB3"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109.1</w:t>
            </w:r>
          </w:p>
        </w:tc>
        <w:tc>
          <w:tcPr>
            <w:tcW w:w="998" w:type="dxa"/>
            <w:shd w:val="clear" w:color="000000" w:fill="FFFFFF"/>
            <w:noWrap/>
            <w:hideMark/>
          </w:tcPr>
          <w:p w14:paraId="18A0C8B1"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96.4</w:t>
            </w:r>
          </w:p>
        </w:tc>
        <w:tc>
          <w:tcPr>
            <w:tcW w:w="993" w:type="dxa"/>
            <w:shd w:val="clear" w:color="000000" w:fill="FFFFFF"/>
            <w:noWrap/>
            <w:hideMark/>
          </w:tcPr>
          <w:p w14:paraId="6B3FE299"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113.1</w:t>
            </w:r>
          </w:p>
        </w:tc>
        <w:tc>
          <w:tcPr>
            <w:tcW w:w="998" w:type="dxa"/>
            <w:shd w:val="clear" w:color="000000" w:fill="FFFFFF"/>
            <w:noWrap/>
            <w:hideMark/>
          </w:tcPr>
          <w:p w14:paraId="0CE4FF8C"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102.5</w:t>
            </w:r>
          </w:p>
        </w:tc>
        <w:tc>
          <w:tcPr>
            <w:tcW w:w="993" w:type="dxa"/>
            <w:shd w:val="clear" w:color="000000" w:fill="FFFFFF"/>
            <w:noWrap/>
            <w:vAlign w:val="bottom"/>
          </w:tcPr>
          <w:p w14:paraId="482C49FE"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117</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0</w:t>
            </w:r>
          </w:p>
        </w:tc>
        <w:tc>
          <w:tcPr>
            <w:tcW w:w="1000" w:type="dxa"/>
            <w:shd w:val="clear" w:color="000000" w:fill="FFFFFF"/>
            <w:noWrap/>
            <w:vAlign w:val="bottom"/>
          </w:tcPr>
          <w:p w14:paraId="661F6E96"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103</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6</w:t>
            </w:r>
          </w:p>
        </w:tc>
      </w:tr>
      <w:tr w:rsidR="00AD32A9" w:rsidRPr="00906DD0" w14:paraId="666E4052" w14:textId="77777777" w:rsidTr="00AD32A9">
        <w:trPr>
          <w:trHeight w:val="253"/>
        </w:trPr>
        <w:tc>
          <w:tcPr>
            <w:tcW w:w="1304" w:type="dxa"/>
            <w:shd w:val="clear" w:color="000000" w:fill="FFFFFF"/>
            <w:vAlign w:val="center"/>
            <w:hideMark/>
          </w:tcPr>
          <w:p w14:paraId="2D414E69" w14:textId="77777777" w:rsidR="0064668E" w:rsidRPr="00906DD0" w:rsidRDefault="0064668E"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5</w:t>
            </w:r>
          </w:p>
        </w:tc>
        <w:tc>
          <w:tcPr>
            <w:tcW w:w="0" w:type="auto"/>
            <w:shd w:val="clear" w:color="000000" w:fill="FFFFFF"/>
            <w:noWrap/>
            <w:hideMark/>
          </w:tcPr>
          <w:p w14:paraId="3D69DDBF"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92.5</w:t>
            </w:r>
          </w:p>
        </w:tc>
        <w:tc>
          <w:tcPr>
            <w:tcW w:w="1453" w:type="dxa"/>
            <w:shd w:val="clear" w:color="000000" w:fill="FFFFFF"/>
            <w:noWrap/>
            <w:hideMark/>
          </w:tcPr>
          <w:p w14:paraId="216CCCCB"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93.2</w:t>
            </w:r>
          </w:p>
        </w:tc>
        <w:tc>
          <w:tcPr>
            <w:tcW w:w="994" w:type="dxa"/>
            <w:shd w:val="clear" w:color="000000" w:fill="FFFFFF"/>
            <w:noWrap/>
            <w:hideMark/>
          </w:tcPr>
          <w:p w14:paraId="65F94A81"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110.6</w:t>
            </w:r>
          </w:p>
        </w:tc>
        <w:tc>
          <w:tcPr>
            <w:tcW w:w="998" w:type="dxa"/>
            <w:shd w:val="clear" w:color="000000" w:fill="FFFFFF"/>
            <w:noWrap/>
            <w:hideMark/>
          </w:tcPr>
          <w:p w14:paraId="27AC3100"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97.1</w:t>
            </w:r>
          </w:p>
        </w:tc>
        <w:tc>
          <w:tcPr>
            <w:tcW w:w="993" w:type="dxa"/>
            <w:shd w:val="clear" w:color="000000" w:fill="FFFFFF"/>
            <w:noWrap/>
            <w:hideMark/>
          </w:tcPr>
          <w:p w14:paraId="13E08353"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113.8</w:t>
            </w:r>
          </w:p>
        </w:tc>
        <w:tc>
          <w:tcPr>
            <w:tcW w:w="998" w:type="dxa"/>
            <w:shd w:val="clear" w:color="000000" w:fill="FFFFFF"/>
            <w:noWrap/>
            <w:hideMark/>
          </w:tcPr>
          <w:p w14:paraId="271AD514"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103.4</w:t>
            </w:r>
          </w:p>
        </w:tc>
        <w:tc>
          <w:tcPr>
            <w:tcW w:w="993" w:type="dxa"/>
            <w:shd w:val="clear" w:color="000000" w:fill="FFFFFF"/>
            <w:noWrap/>
            <w:vAlign w:val="bottom"/>
          </w:tcPr>
          <w:p w14:paraId="4B6D3682"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123</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9</w:t>
            </w:r>
          </w:p>
        </w:tc>
        <w:tc>
          <w:tcPr>
            <w:tcW w:w="1000" w:type="dxa"/>
            <w:shd w:val="clear" w:color="000000" w:fill="FFFFFF"/>
            <w:noWrap/>
            <w:vAlign w:val="bottom"/>
          </w:tcPr>
          <w:p w14:paraId="37D0F5B0"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110</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7</w:t>
            </w:r>
          </w:p>
        </w:tc>
      </w:tr>
      <w:tr w:rsidR="00AD32A9" w:rsidRPr="00906DD0" w14:paraId="5A30D9D8" w14:textId="77777777" w:rsidTr="00AD32A9">
        <w:trPr>
          <w:trHeight w:val="253"/>
        </w:trPr>
        <w:tc>
          <w:tcPr>
            <w:tcW w:w="1304" w:type="dxa"/>
            <w:shd w:val="clear" w:color="000000" w:fill="FFFFFF"/>
            <w:vAlign w:val="center"/>
            <w:hideMark/>
          </w:tcPr>
          <w:p w14:paraId="2EA66C65" w14:textId="77777777" w:rsidR="0064668E" w:rsidRPr="00906DD0" w:rsidRDefault="0064668E"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6</w:t>
            </w:r>
          </w:p>
        </w:tc>
        <w:tc>
          <w:tcPr>
            <w:tcW w:w="0" w:type="auto"/>
            <w:shd w:val="clear" w:color="000000" w:fill="FFFFFF"/>
            <w:noWrap/>
            <w:hideMark/>
          </w:tcPr>
          <w:p w14:paraId="41993A07"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97.2</w:t>
            </w:r>
          </w:p>
        </w:tc>
        <w:tc>
          <w:tcPr>
            <w:tcW w:w="1453" w:type="dxa"/>
            <w:shd w:val="clear" w:color="000000" w:fill="FFFFFF"/>
            <w:noWrap/>
            <w:hideMark/>
          </w:tcPr>
          <w:p w14:paraId="2E54087E"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98.4</w:t>
            </w:r>
          </w:p>
        </w:tc>
        <w:tc>
          <w:tcPr>
            <w:tcW w:w="994" w:type="dxa"/>
            <w:shd w:val="clear" w:color="000000" w:fill="FFFFFF"/>
            <w:noWrap/>
            <w:hideMark/>
          </w:tcPr>
          <w:p w14:paraId="68D69D77"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118.6</w:t>
            </w:r>
          </w:p>
        </w:tc>
        <w:tc>
          <w:tcPr>
            <w:tcW w:w="998" w:type="dxa"/>
            <w:shd w:val="clear" w:color="000000" w:fill="FFFFFF"/>
            <w:noWrap/>
            <w:hideMark/>
          </w:tcPr>
          <w:p w14:paraId="0C63DA51"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101.9</w:t>
            </w:r>
          </w:p>
        </w:tc>
        <w:tc>
          <w:tcPr>
            <w:tcW w:w="993" w:type="dxa"/>
            <w:shd w:val="clear" w:color="000000" w:fill="FFFFFF"/>
            <w:noWrap/>
            <w:hideMark/>
          </w:tcPr>
          <w:p w14:paraId="6DBB011B"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116.9</w:t>
            </w:r>
          </w:p>
        </w:tc>
        <w:tc>
          <w:tcPr>
            <w:tcW w:w="998" w:type="dxa"/>
            <w:shd w:val="clear" w:color="000000" w:fill="FFFFFF"/>
            <w:noWrap/>
            <w:hideMark/>
          </w:tcPr>
          <w:p w14:paraId="3A26650A"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106.6</w:t>
            </w:r>
          </w:p>
        </w:tc>
        <w:tc>
          <w:tcPr>
            <w:tcW w:w="993" w:type="dxa"/>
            <w:shd w:val="clear" w:color="000000" w:fill="FFFFFF"/>
            <w:noWrap/>
            <w:vAlign w:val="bottom"/>
          </w:tcPr>
          <w:p w14:paraId="6DFF10C3"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129</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8</w:t>
            </w:r>
          </w:p>
        </w:tc>
        <w:tc>
          <w:tcPr>
            <w:tcW w:w="1000" w:type="dxa"/>
            <w:shd w:val="clear" w:color="000000" w:fill="FFFFFF"/>
            <w:noWrap/>
            <w:vAlign w:val="bottom"/>
          </w:tcPr>
          <w:p w14:paraId="6D330AC3"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116</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5</w:t>
            </w:r>
          </w:p>
        </w:tc>
      </w:tr>
      <w:tr w:rsidR="00AD32A9" w:rsidRPr="00906DD0" w14:paraId="51DB8FE1" w14:textId="77777777" w:rsidTr="00AD32A9">
        <w:trPr>
          <w:trHeight w:val="253"/>
        </w:trPr>
        <w:tc>
          <w:tcPr>
            <w:tcW w:w="1304" w:type="dxa"/>
            <w:shd w:val="clear" w:color="000000" w:fill="FFFFFF"/>
            <w:vAlign w:val="center"/>
            <w:hideMark/>
          </w:tcPr>
          <w:p w14:paraId="1F2208D0" w14:textId="77777777" w:rsidR="002604EA" w:rsidRPr="00906DD0" w:rsidRDefault="002604EA"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7</w:t>
            </w:r>
          </w:p>
        </w:tc>
        <w:tc>
          <w:tcPr>
            <w:tcW w:w="0" w:type="auto"/>
            <w:shd w:val="clear" w:color="000000" w:fill="FFFFFF"/>
            <w:noWrap/>
            <w:hideMark/>
          </w:tcPr>
          <w:p w14:paraId="77B8E921"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107.3</w:t>
            </w:r>
          </w:p>
        </w:tc>
        <w:tc>
          <w:tcPr>
            <w:tcW w:w="1453" w:type="dxa"/>
            <w:shd w:val="clear" w:color="000000" w:fill="FFFFFF"/>
            <w:noWrap/>
            <w:hideMark/>
          </w:tcPr>
          <w:p w14:paraId="0BD48177"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107.5</w:t>
            </w:r>
          </w:p>
        </w:tc>
        <w:tc>
          <w:tcPr>
            <w:tcW w:w="994" w:type="dxa"/>
            <w:shd w:val="clear" w:color="000000" w:fill="FFFFFF"/>
            <w:noWrap/>
            <w:hideMark/>
          </w:tcPr>
          <w:p w14:paraId="72776A0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129.6</w:t>
            </w:r>
          </w:p>
        </w:tc>
        <w:tc>
          <w:tcPr>
            <w:tcW w:w="998" w:type="dxa"/>
            <w:shd w:val="clear" w:color="000000" w:fill="FFFFFF"/>
            <w:noWrap/>
            <w:hideMark/>
          </w:tcPr>
          <w:p w14:paraId="6A2C5AEC"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113.8</w:t>
            </w:r>
          </w:p>
        </w:tc>
        <w:tc>
          <w:tcPr>
            <w:tcW w:w="993" w:type="dxa"/>
            <w:shd w:val="clear" w:color="000000" w:fill="FFFFFF"/>
            <w:noWrap/>
            <w:hideMark/>
          </w:tcPr>
          <w:p w14:paraId="42A906A5"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133.9</w:t>
            </w:r>
          </w:p>
        </w:tc>
        <w:tc>
          <w:tcPr>
            <w:tcW w:w="998" w:type="dxa"/>
            <w:shd w:val="clear" w:color="000000" w:fill="FFFFFF"/>
            <w:noWrap/>
            <w:hideMark/>
          </w:tcPr>
          <w:p w14:paraId="6970CBE5"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122.1</w:t>
            </w:r>
          </w:p>
        </w:tc>
        <w:tc>
          <w:tcPr>
            <w:tcW w:w="993" w:type="dxa"/>
            <w:shd w:val="clear" w:color="000000" w:fill="FFFFFF"/>
            <w:noWrap/>
          </w:tcPr>
          <w:p w14:paraId="274AF5DF" w14:textId="77777777" w:rsidR="002604EA" w:rsidRPr="00906DD0" w:rsidRDefault="002604EA" w:rsidP="00906DD0">
            <w:pPr>
              <w:jc w:val="right"/>
              <w:rPr>
                <w:rFonts w:ascii="Arial Narrow" w:hAnsi="Arial Narrow"/>
                <w:sz w:val="16"/>
                <w:szCs w:val="16"/>
              </w:rPr>
            </w:pPr>
          </w:p>
        </w:tc>
        <w:tc>
          <w:tcPr>
            <w:tcW w:w="1000" w:type="dxa"/>
            <w:shd w:val="clear" w:color="000000" w:fill="FFFFFF"/>
            <w:noWrap/>
          </w:tcPr>
          <w:p w14:paraId="01C73226" w14:textId="77777777" w:rsidR="002604EA" w:rsidRPr="00906DD0" w:rsidRDefault="002604EA" w:rsidP="00906DD0">
            <w:pPr>
              <w:jc w:val="right"/>
              <w:rPr>
                <w:rFonts w:ascii="Arial Narrow" w:hAnsi="Arial Narrow"/>
                <w:sz w:val="16"/>
                <w:szCs w:val="16"/>
              </w:rPr>
            </w:pPr>
          </w:p>
        </w:tc>
      </w:tr>
      <w:tr w:rsidR="00AD32A9" w:rsidRPr="00906DD0" w14:paraId="4F898381" w14:textId="77777777" w:rsidTr="00AD32A9">
        <w:trPr>
          <w:trHeight w:val="253"/>
        </w:trPr>
        <w:tc>
          <w:tcPr>
            <w:tcW w:w="1304" w:type="dxa"/>
            <w:shd w:val="clear" w:color="000000" w:fill="FFFFFF"/>
            <w:vAlign w:val="center"/>
            <w:hideMark/>
          </w:tcPr>
          <w:p w14:paraId="6F2B8DCB" w14:textId="77777777" w:rsidR="002604EA" w:rsidRPr="00906DD0" w:rsidRDefault="002604EA"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8</w:t>
            </w:r>
          </w:p>
        </w:tc>
        <w:tc>
          <w:tcPr>
            <w:tcW w:w="0" w:type="auto"/>
            <w:shd w:val="clear" w:color="000000" w:fill="FFFFFF"/>
            <w:noWrap/>
            <w:hideMark/>
          </w:tcPr>
          <w:p w14:paraId="74EB9A88"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119.4</w:t>
            </w:r>
          </w:p>
        </w:tc>
        <w:tc>
          <w:tcPr>
            <w:tcW w:w="1453" w:type="dxa"/>
            <w:shd w:val="clear" w:color="000000" w:fill="FFFFFF"/>
            <w:noWrap/>
            <w:hideMark/>
          </w:tcPr>
          <w:p w14:paraId="0D9441E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119.1</w:t>
            </w:r>
          </w:p>
        </w:tc>
        <w:tc>
          <w:tcPr>
            <w:tcW w:w="994" w:type="dxa"/>
            <w:shd w:val="clear" w:color="000000" w:fill="FFFFFF"/>
            <w:noWrap/>
            <w:hideMark/>
          </w:tcPr>
          <w:p w14:paraId="0BB1F7F1"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137.4</w:t>
            </w:r>
          </w:p>
        </w:tc>
        <w:tc>
          <w:tcPr>
            <w:tcW w:w="998" w:type="dxa"/>
            <w:shd w:val="clear" w:color="000000" w:fill="FFFFFF"/>
            <w:noWrap/>
            <w:hideMark/>
          </w:tcPr>
          <w:p w14:paraId="4581A008"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120.7</w:t>
            </w:r>
          </w:p>
        </w:tc>
        <w:tc>
          <w:tcPr>
            <w:tcW w:w="993" w:type="dxa"/>
            <w:shd w:val="clear" w:color="000000" w:fill="FFFFFF"/>
            <w:noWrap/>
            <w:hideMark/>
          </w:tcPr>
          <w:p w14:paraId="18E537B0"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143.0</w:t>
            </w:r>
          </w:p>
        </w:tc>
        <w:tc>
          <w:tcPr>
            <w:tcW w:w="998" w:type="dxa"/>
            <w:shd w:val="clear" w:color="000000" w:fill="FFFFFF"/>
            <w:noWrap/>
            <w:hideMark/>
          </w:tcPr>
          <w:p w14:paraId="2C961A2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128.6</w:t>
            </w:r>
          </w:p>
        </w:tc>
        <w:tc>
          <w:tcPr>
            <w:tcW w:w="993" w:type="dxa"/>
            <w:shd w:val="clear" w:color="000000" w:fill="FFFFFF"/>
            <w:noWrap/>
          </w:tcPr>
          <w:p w14:paraId="157715E1" w14:textId="77777777" w:rsidR="002604EA" w:rsidRPr="00906DD0" w:rsidRDefault="002604EA" w:rsidP="00906DD0">
            <w:pPr>
              <w:jc w:val="right"/>
              <w:rPr>
                <w:rFonts w:ascii="Arial Narrow" w:hAnsi="Arial Narrow"/>
                <w:sz w:val="16"/>
                <w:szCs w:val="16"/>
              </w:rPr>
            </w:pPr>
          </w:p>
        </w:tc>
        <w:tc>
          <w:tcPr>
            <w:tcW w:w="1000" w:type="dxa"/>
            <w:shd w:val="clear" w:color="000000" w:fill="FFFFFF"/>
            <w:noWrap/>
          </w:tcPr>
          <w:p w14:paraId="148F10F0" w14:textId="77777777" w:rsidR="002604EA" w:rsidRPr="00906DD0" w:rsidRDefault="002604EA" w:rsidP="00906DD0">
            <w:pPr>
              <w:jc w:val="right"/>
              <w:rPr>
                <w:rFonts w:ascii="Arial Narrow" w:hAnsi="Arial Narrow"/>
                <w:sz w:val="16"/>
                <w:szCs w:val="16"/>
              </w:rPr>
            </w:pPr>
          </w:p>
        </w:tc>
      </w:tr>
      <w:tr w:rsidR="00AD32A9" w:rsidRPr="00906DD0" w14:paraId="5E3D5F8A" w14:textId="77777777" w:rsidTr="00AD32A9">
        <w:trPr>
          <w:trHeight w:val="253"/>
        </w:trPr>
        <w:tc>
          <w:tcPr>
            <w:tcW w:w="1304" w:type="dxa"/>
            <w:shd w:val="clear" w:color="000000" w:fill="FFFFFF"/>
            <w:vAlign w:val="center"/>
            <w:hideMark/>
          </w:tcPr>
          <w:p w14:paraId="6986CE2B" w14:textId="77777777" w:rsidR="002604EA" w:rsidRPr="00906DD0" w:rsidRDefault="002604EA"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9</w:t>
            </w:r>
          </w:p>
        </w:tc>
        <w:tc>
          <w:tcPr>
            <w:tcW w:w="0" w:type="auto"/>
            <w:shd w:val="clear" w:color="000000" w:fill="FFFFFF"/>
            <w:noWrap/>
            <w:hideMark/>
          </w:tcPr>
          <w:p w14:paraId="73A02D72"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104.0</w:t>
            </w:r>
          </w:p>
        </w:tc>
        <w:tc>
          <w:tcPr>
            <w:tcW w:w="1453" w:type="dxa"/>
            <w:shd w:val="clear" w:color="000000" w:fill="FFFFFF"/>
            <w:noWrap/>
            <w:hideMark/>
          </w:tcPr>
          <w:p w14:paraId="62FC68D8"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103.7</w:t>
            </w:r>
          </w:p>
        </w:tc>
        <w:tc>
          <w:tcPr>
            <w:tcW w:w="994" w:type="dxa"/>
            <w:shd w:val="clear" w:color="000000" w:fill="FFFFFF"/>
            <w:noWrap/>
            <w:hideMark/>
          </w:tcPr>
          <w:p w14:paraId="084F1F2F"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125.5</w:t>
            </w:r>
          </w:p>
        </w:tc>
        <w:tc>
          <w:tcPr>
            <w:tcW w:w="998" w:type="dxa"/>
            <w:shd w:val="clear" w:color="000000" w:fill="FFFFFF"/>
            <w:noWrap/>
            <w:hideMark/>
          </w:tcPr>
          <w:p w14:paraId="5E6BF316"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111.0</w:t>
            </w:r>
          </w:p>
        </w:tc>
        <w:tc>
          <w:tcPr>
            <w:tcW w:w="993" w:type="dxa"/>
            <w:shd w:val="clear" w:color="000000" w:fill="FFFFFF"/>
            <w:noWrap/>
            <w:hideMark/>
          </w:tcPr>
          <w:p w14:paraId="6E5988DA"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128.1</w:t>
            </w:r>
          </w:p>
        </w:tc>
        <w:tc>
          <w:tcPr>
            <w:tcW w:w="998" w:type="dxa"/>
            <w:shd w:val="clear" w:color="000000" w:fill="FFFFFF"/>
            <w:noWrap/>
            <w:hideMark/>
          </w:tcPr>
          <w:p w14:paraId="7BE408A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113.0</w:t>
            </w:r>
          </w:p>
        </w:tc>
        <w:tc>
          <w:tcPr>
            <w:tcW w:w="993" w:type="dxa"/>
            <w:shd w:val="clear" w:color="000000" w:fill="FFFFFF"/>
            <w:noWrap/>
          </w:tcPr>
          <w:p w14:paraId="762DF438" w14:textId="77777777" w:rsidR="002604EA" w:rsidRPr="00906DD0" w:rsidRDefault="002604EA" w:rsidP="00906DD0">
            <w:pPr>
              <w:jc w:val="right"/>
              <w:rPr>
                <w:rFonts w:ascii="Arial Narrow" w:hAnsi="Arial Narrow"/>
                <w:sz w:val="16"/>
                <w:szCs w:val="16"/>
              </w:rPr>
            </w:pPr>
          </w:p>
        </w:tc>
        <w:tc>
          <w:tcPr>
            <w:tcW w:w="1000" w:type="dxa"/>
            <w:shd w:val="clear" w:color="000000" w:fill="FFFFFF"/>
            <w:noWrap/>
          </w:tcPr>
          <w:p w14:paraId="5BFEEFAB" w14:textId="77777777" w:rsidR="002604EA" w:rsidRPr="00906DD0" w:rsidRDefault="002604EA" w:rsidP="00906DD0">
            <w:pPr>
              <w:jc w:val="right"/>
              <w:rPr>
                <w:rFonts w:ascii="Arial Narrow" w:hAnsi="Arial Narrow"/>
                <w:sz w:val="16"/>
                <w:szCs w:val="16"/>
              </w:rPr>
            </w:pPr>
          </w:p>
        </w:tc>
      </w:tr>
      <w:tr w:rsidR="00AD32A9" w:rsidRPr="00906DD0" w14:paraId="79924E79" w14:textId="77777777" w:rsidTr="00AD32A9">
        <w:trPr>
          <w:trHeight w:val="253"/>
        </w:trPr>
        <w:tc>
          <w:tcPr>
            <w:tcW w:w="1304" w:type="dxa"/>
            <w:shd w:val="clear" w:color="000000" w:fill="FFFFFF"/>
            <w:vAlign w:val="center"/>
            <w:hideMark/>
          </w:tcPr>
          <w:p w14:paraId="73872AF7" w14:textId="77777777" w:rsidR="002604EA" w:rsidRPr="00906DD0" w:rsidRDefault="002604EA"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10</w:t>
            </w:r>
          </w:p>
        </w:tc>
        <w:tc>
          <w:tcPr>
            <w:tcW w:w="0" w:type="auto"/>
            <w:shd w:val="clear" w:color="000000" w:fill="FFFFFF"/>
            <w:noWrap/>
            <w:hideMark/>
          </w:tcPr>
          <w:p w14:paraId="23882CE9"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103.9</w:t>
            </w:r>
          </w:p>
        </w:tc>
        <w:tc>
          <w:tcPr>
            <w:tcW w:w="1453" w:type="dxa"/>
            <w:shd w:val="clear" w:color="000000" w:fill="FFFFFF"/>
            <w:noWrap/>
            <w:hideMark/>
          </w:tcPr>
          <w:p w14:paraId="3A2F9EC4"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102.3</w:t>
            </w:r>
          </w:p>
        </w:tc>
        <w:tc>
          <w:tcPr>
            <w:tcW w:w="994" w:type="dxa"/>
            <w:shd w:val="clear" w:color="000000" w:fill="FFFFFF"/>
            <w:noWrap/>
            <w:hideMark/>
          </w:tcPr>
          <w:p w14:paraId="4FEAA0EA"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122.3</w:t>
            </w:r>
          </w:p>
        </w:tc>
        <w:tc>
          <w:tcPr>
            <w:tcW w:w="998" w:type="dxa"/>
            <w:shd w:val="clear" w:color="000000" w:fill="FFFFFF"/>
            <w:noWrap/>
            <w:hideMark/>
          </w:tcPr>
          <w:p w14:paraId="772C176F"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107.6</w:t>
            </w:r>
          </w:p>
        </w:tc>
        <w:tc>
          <w:tcPr>
            <w:tcW w:w="993" w:type="dxa"/>
            <w:shd w:val="clear" w:color="000000" w:fill="FFFFFF"/>
            <w:noWrap/>
            <w:hideMark/>
          </w:tcPr>
          <w:p w14:paraId="718BE2C6"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122.9</w:t>
            </w:r>
          </w:p>
        </w:tc>
        <w:tc>
          <w:tcPr>
            <w:tcW w:w="998" w:type="dxa"/>
            <w:shd w:val="clear" w:color="000000" w:fill="FFFFFF"/>
            <w:noWrap/>
            <w:hideMark/>
          </w:tcPr>
          <w:p w14:paraId="1E87C409"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108.0</w:t>
            </w:r>
          </w:p>
        </w:tc>
        <w:tc>
          <w:tcPr>
            <w:tcW w:w="993" w:type="dxa"/>
            <w:shd w:val="clear" w:color="000000" w:fill="FFFFFF"/>
            <w:noWrap/>
          </w:tcPr>
          <w:p w14:paraId="59785BB8" w14:textId="77777777" w:rsidR="002604EA" w:rsidRPr="00906DD0" w:rsidRDefault="002604EA" w:rsidP="00906DD0">
            <w:pPr>
              <w:jc w:val="right"/>
              <w:rPr>
                <w:rFonts w:ascii="Arial Narrow" w:hAnsi="Arial Narrow"/>
                <w:sz w:val="16"/>
                <w:szCs w:val="16"/>
              </w:rPr>
            </w:pPr>
          </w:p>
        </w:tc>
        <w:tc>
          <w:tcPr>
            <w:tcW w:w="1000" w:type="dxa"/>
            <w:shd w:val="clear" w:color="000000" w:fill="FFFFFF"/>
            <w:noWrap/>
          </w:tcPr>
          <w:p w14:paraId="79638280" w14:textId="77777777" w:rsidR="002604EA" w:rsidRPr="00906DD0" w:rsidRDefault="002604EA" w:rsidP="00906DD0">
            <w:pPr>
              <w:jc w:val="right"/>
              <w:rPr>
                <w:rFonts w:ascii="Arial Narrow" w:hAnsi="Arial Narrow"/>
                <w:sz w:val="16"/>
                <w:szCs w:val="16"/>
              </w:rPr>
            </w:pPr>
          </w:p>
        </w:tc>
      </w:tr>
      <w:tr w:rsidR="00AD32A9" w:rsidRPr="00906DD0" w14:paraId="7FA89F14" w14:textId="77777777" w:rsidTr="00AD32A9">
        <w:trPr>
          <w:trHeight w:val="253"/>
        </w:trPr>
        <w:tc>
          <w:tcPr>
            <w:tcW w:w="1304" w:type="dxa"/>
            <w:shd w:val="clear" w:color="000000" w:fill="FFFFFF"/>
            <w:vAlign w:val="center"/>
            <w:hideMark/>
          </w:tcPr>
          <w:p w14:paraId="7CD98066" w14:textId="77777777" w:rsidR="002604EA" w:rsidRPr="00906DD0" w:rsidRDefault="002604EA"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11</w:t>
            </w:r>
          </w:p>
        </w:tc>
        <w:tc>
          <w:tcPr>
            <w:tcW w:w="0" w:type="auto"/>
            <w:shd w:val="clear" w:color="000000" w:fill="FFFFFF"/>
            <w:noWrap/>
            <w:hideMark/>
          </w:tcPr>
          <w:p w14:paraId="3F1FC06A"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103.5</w:t>
            </w:r>
          </w:p>
        </w:tc>
        <w:tc>
          <w:tcPr>
            <w:tcW w:w="1453" w:type="dxa"/>
            <w:shd w:val="clear" w:color="000000" w:fill="FFFFFF"/>
            <w:noWrap/>
            <w:hideMark/>
          </w:tcPr>
          <w:p w14:paraId="402589FC"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101.4</w:t>
            </w:r>
          </w:p>
        </w:tc>
        <w:tc>
          <w:tcPr>
            <w:tcW w:w="994" w:type="dxa"/>
            <w:shd w:val="clear" w:color="000000" w:fill="FFFFFF"/>
            <w:noWrap/>
            <w:hideMark/>
          </w:tcPr>
          <w:p w14:paraId="7B2B5C77"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118.7</w:t>
            </w:r>
          </w:p>
        </w:tc>
        <w:tc>
          <w:tcPr>
            <w:tcW w:w="998" w:type="dxa"/>
            <w:shd w:val="clear" w:color="000000" w:fill="FFFFFF"/>
            <w:noWrap/>
            <w:hideMark/>
          </w:tcPr>
          <w:p w14:paraId="49872BDA"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106.6</w:t>
            </w:r>
          </w:p>
        </w:tc>
        <w:tc>
          <w:tcPr>
            <w:tcW w:w="993" w:type="dxa"/>
            <w:shd w:val="clear" w:color="000000" w:fill="FFFFFF"/>
            <w:noWrap/>
            <w:hideMark/>
          </w:tcPr>
          <w:p w14:paraId="61AA3651"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122.7</w:t>
            </w:r>
          </w:p>
        </w:tc>
        <w:tc>
          <w:tcPr>
            <w:tcW w:w="998" w:type="dxa"/>
            <w:shd w:val="clear" w:color="000000" w:fill="FFFFFF"/>
            <w:noWrap/>
            <w:hideMark/>
          </w:tcPr>
          <w:p w14:paraId="59F29F62"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107.9</w:t>
            </w:r>
          </w:p>
        </w:tc>
        <w:tc>
          <w:tcPr>
            <w:tcW w:w="993" w:type="dxa"/>
            <w:shd w:val="clear" w:color="000000" w:fill="FFFFFF"/>
            <w:noWrap/>
          </w:tcPr>
          <w:p w14:paraId="4BD96A43" w14:textId="77777777" w:rsidR="002604EA" w:rsidRPr="00906DD0" w:rsidRDefault="002604EA" w:rsidP="00906DD0">
            <w:pPr>
              <w:jc w:val="right"/>
              <w:rPr>
                <w:rFonts w:ascii="Arial Narrow" w:hAnsi="Arial Narrow"/>
                <w:sz w:val="16"/>
                <w:szCs w:val="16"/>
              </w:rPr>
            </w:pPr>
          </w:p>
        </w:tc>
        <w:tc>
          <w:tcPr>
            <w:tcW w:w="1000" w:type="dxa"/>
            <w:shd w:val="clear" w:color="000000" w:fill="FFFFFF"/>
            <w:noWrap/>
          </w:tcPr>
          <w:p w14:paraId="6ECE6940" w14:textId="77777777" w:rsidR="002604EA" w:rsidRPr="00906DD0" w:rsidRDefault="002604EA" w:rsidP="00906DD0">
            <w:pPr>
              <w:jc w:val="right"/>
              <w:rPr>
                <w:rFonts w:ascii="Arial Narrow" w:hAnsi="Arial Narrow"/>
                <w:sz w:val="16"/>
                <w:szCs w:val="16"/>
              </w:rPr>
            </w:pPr>
          </w:p>
        </w:tc>
      </w:tr>
      <w:tr w:rsidR="00AD32A9" w:rsidRPr="00906DD0" w14:paraId="041589B4" w14:textId="77777777" w:rsidTr="00AD32A9">
        <w:trPr>
          <w:trHeight w:val="253"/>
        </w:trPr>
        <w:tc>
          <w:tcPr>
            <w:tcW w:w="1304" w:type="dxa"/>
            <w:shd w:val="clear" w:color="000000" w:fill="FFFFFF"/>
            <w:vAlign w:val="center"/>
            <w:hideMark/>
          </w:tcPr>
          <w:p w14:paraId="02EBB296" w14:textId="77777777" w:rsidR="002604EA" w:rsidRPr="00906DD0" w:rsidRDefault="002604EA" w:rsidP="00976B5F">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12</w:t>
            </w:r>
          </w:p>
        </w:tc>
        <w:tc>
          <w:tcPr>
            <w:tcW w:w="0" w:type="auto"/>
            <w:shd w:val="clear" w:color="000000" w:fill="FFFFFF"/>
            <w:noWrap/>
            <w:hideMark/>
          </w:tcPr>
          <w:p w14:paraId="272EE2C2"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131.2</w:t>
            </w:r>
          </w:p>
        </w:tc>
        <w:tc>
          <w:tcPr>
            <w:tcW w:w="1453" w:type="dxa"/>
            <w:shd w:val="clear" w:color="000000" w:fill="FFFFFF"/>
            <w:noWrap/>
            <w:hideMark/>
          </w:tcPr>
          <w:p w14:paraId="4CBE0425"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127.8</w:t>
            </w:r>
          </w:p>
        </w:tc>
        <w:tc>
          <w:tcPr>
            <w:tcW w:w="994" w:type="dxa"/>
            <w:shd w:val="clear" w:color="000000" w:fill="FFFFFF"/>
            <w:noWrap/>
            <w:hideMark/>
          </w:tcPr>
          <w:p w14:paraId="30B1DDDA"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143.7</w:t>
            </w:r>
          </w:p>
        </w:tc>
        <w:tc>
          <w:tcPr>
            <w:tcW w:w="998" w:type="dxa"/>
            <w:shd w:val="clear" w:color="000000" w:fill="FFFFFF"/>
            <w:noWrap/>
            <w:hideMark/>
          </w:tcPr>
          <w:p w14:paraId="3298C8F1"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130.6</w:t>
            </w:r>
          </w:p>
        </w:tc>
        <w:tc>
          <w:tcPr>
            <w:tcW w:w="993" w:type="dxa"/>
            <w:shd w:val="clear" w:color="000000" w:fill="FFFFFF"/>
            <w:noWrap/>
            <w:hideMark/>
          </w:tcPr>
          <w:p w14:paraId="2A6189B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163.8</w:t>
            </w:r>
          </w:p>
        </w:tc>
        <w:tc>
          <w:tcPr>
            <w:tcW w:w="998" w:type="dxa"/>
            <w:shd w:val="clear" w:color="000000" w:fill="FFFFFF"/>
            <w:noWrap/>
            <w:hideMark/>
          </w:tcPr>
          <w:p w14:paraId="7AEDD65F"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144.4</w:t>
            </w:r>
          </w:p>
        </w:tc>
        <w:tc>
          <w:tcPr>
            <w:tcW w:w="993" w:type="dxa"/>
            <w:shd w:val="clear" w:color="000000" w:fill="FFFFFF"/>
            <w:noWrap/>
          </w:tcPr>
          <w:p w14:paraId="1145FBFE" w14:textId="77777777" w:rsidR="002604EA" w:rsidRPr="00906DD0" w:rsidRDefault="002604EA" w:rsidP="00906DD0">
            <w:pPr>
              <w:jc w:val="right"/>
              <w:rPr>
                <w:rFonts w:ascii="Arial Narrow" w:hAnsi="Arial Narrow"/>
                <w:sz w:val="16"/>
                <w:szCs w:val="16"/>
              </w:rPr>
            </w:pPr>
          </w:p>
        </w:tc>
        <w:tc>
          <w:tcPr>
            <w:tcW w:w="1000" w:type="dxa"/>
            <w:shd w:val="clear" w:color="000000" w:fill="FFFFFF"/>
            <w:noWrap/>
          </w:tcPr>
          <w:p w14:paraId="44E0EDF4" w14:textId="77777777" w:rsidR="002604EA" w:rsidRPr="00906DD0" w:rsidRDefault="002604EA" w:rsidP="00906DD0">
            <w:pPr>
              <w:jc w:val="right"/>
              <w:rPr>
                <w:rFonts w:ascii="Arial Narrow" w:hAnsi="Arial Narrow"/>
                <w:sz w:val="16"/>
                <w:szCs w:val="16"/>
              </w:rPr>
            </w:pPr>
          </w:p>
        </w:tc>
      </w:tr>
    </w:tbl>
    <w:p w14:paraId="49506C9F" w14:textId="77777777" w:rsidR="003A3572" w:rsidRPr="00906DD0" w:rsidRDefault="00906DD0" w:rsidP="00906DD0">
      <w:pPr>
        <w:pStyle w:val="Title"/>
        <w:spacing w:after="0" w:line="360" w:lineRule="auto"/>
        <w:jc w:val="both"/>
        <w:rPr>
          <w:rFonts w:cstheme="minorHAnsi"/>
          <w:b/>
          <w:color w:val="7F7F7F" w:themeColor="text1" w:themeTint="80"/>
          <w:sz w:val="20"/>
          <w:szCs w:val="18"/>
        </w:rPr>
      </w:pPr>
      <w:r>
        <w:rPr>
          <w:rFonts w:cstheme="minorHAnsi"/>
          <w:b/>
          <w:color w:val="7F7F7F" w:themeColor="text1" w:themeTint="80"/>
          <w:sz w:val="20"/>
          <w:szCs w:val="18"/>
        </w:rPr>
        <w:t xml:space="preserve">         </w:t>
      </w:r>
      <w:r w:rsidR="0033420B" w:rsidRPr="00906DD0">
        <w:rPr>
          <w:rFonts w:cstheme="minorHAnsi"/>
          <w:b/>
          <w:color w:val="7F7F7F" w:themeColor="text1" w:themeTint="80"/>
          <w:sz w:val="20"/>
          <w:szCs w:val="18"/>
        </w:rPr>
        <w:t xml:space="preserve">Tab. </w:t>
      </w:r>
      <w:r w:rsidR="003A3572" w:rsidRPr="00906DD0">
        <w:rPr>
          <w:rFonts w:cstheme="minorHAnsi"/>
          <w:b/>
          <w:color w:val="7F7F7F" w:themeColor="text1" w:themeTint="80"/>
          <w:sz w:val="20"/>
          <w:szCs w:val="18"/>
        </w:rPr>
        <w:t>6 Monthly</w:t>
      </w:r>
      <w:r w:rsidR="00B62B68" w:rsidRPr="00906DD0">
        <w:rPr>
          <w:rFonts w:cstheme="minorHAnsi"/>
          <w:b/>
          <w:color w:val="7F7F7F" w:themeColor="text1" w:themeTint="80"/>
          <w:sz w:val="20"/>
          <w:szCs w:val="18"/>
        </w:rPr>
        <w:t xml:space="preserve"> value and volume indices on </w:t>
      </w:r>
      <w:r w:rsidR="00D03B4E" w:rsidRPr="00906DD0">
        <w:rPr>
          <w:rFonts w:cstheme="minorHAnsi"/>
          <w:b/>
          <w:color w:val="7F7F7F" w:themeColor="text1" w:themeTint="80"/>
          <w:sz w:val="20"/>
          <w:szCs w:val="18"/>
        </w:rPr>
        <w:t>R</w:t>
      </w:r>
      <w:r w:rsidR="00B62B68" w:rsidRPr="00906DD0">
        <w:rPr>
          <w:rFonts w:cstheme="minorHAnsi"/>
          <w:b/>
          <w:color w:val="7F7F7F" w:themeColor="text1" w:themeTint="80"/>
          <w:sz w:val="20"/>
          <w:szCs w:val="18"/>
        </w:rPr>
        <w:t xml:space="preserve">etail </w:t>
      </w:r>
      <w:r w:rsidR="00D03B4E" w:rsidRPr="00906DD0">
        <w:rPr>
          <w:rFonts w:cstheme="minorHAnsi"/>
          <w:b/>
          <w:color w:val="7F7F7F" w:themeColor="text1" w:themeTint="80"/>
          <w:sz w:val="20"/>
          <w:szCs w:val="18"/>
        </w:rPr>
        <w:t>Sale</w:t>
      </w:r>
      <w:r w:rsidR="00B62B68" w:rsidRPr="00906DD0">
        <w:rPr>
          <w:rFonts w:cstheme="minorHAnsi"/>
          <w:b/>
          <w:color w:val="7F7F7F" w:themeColor="text1" w:themeTint="80"/>
          <w:sz w:val="20"/>
          <w:szCs w:val="18"/>
        </w:rPr>
        <w:t xml:space="preserve"> of motor</w:t>
      </w:r>
      <w:r w:rsidR="00E405BD" w:rsidRPr="00906DD0">
        <w:rPr>
          <w:rFonts w:cstheme="minorHAnsi"/>
          <w:b/>
          <w:color w:val="7F7F7F" w:themeColor="text1" w:themeTint="80"/>
          <w:sz w:val="20"/>
          <w:szCs w:val="18"/>
        </w:rPr>
        <w:t xml:space="preserve"> fuel</w:t>
      </w:r>
      <w:r w:rsidR="00BB77A6" w:rsidRPr="00906DD0">
        <w:rPr>
          <w:rFonts w:cstheme="minorHAnsi"/>
          <w:b/>
          <w:color w:val="7F7F7F" w:themeColor="text1" w:themeTint="80"/>
          <w:sz w:val="20"/>
          <w:szCs w:val="18"/>
        </w:rPr>
        <w:t xml:space="preserve"> (seasonally unadjusted)</w:t>
      </w:r>
    </w:p>
    <w:tbl>
      <w:tblPr>
        <w:tblW w:w="9330" w:type="dxa"/>
        <w:tblInd w:w="558" w:type="dxa"/>
        <w:tblBorders>
          <w:top w:val="single" w:sz="8" w:space="0" w:color="CF7B79"/>
          <w:left w:val="single" w:sz="8" w:space="0" w:color="CF7B79"/>
          <w:bottom w:val="single" w:sz="8" w:space="0" w:color="CF7B79"/>
          <w:right w:val="single" w:sz="8" w:space="0" w:color="CF7B79"/>
          <w:insideH w:val="single" w:sz="8" w:space="0" w:color="CF7B79"/>
        </w:tblBorders>
        <w:tblLook w:val="04A0" w:firstRow="1" w:lastRow="0" w:firstColumn="1" w:lastColumn="0" w:noHBand="0" w:noVBand="1"/>
      </w:tblPr>
      <w:tblGrid>
        <w:gridCol w:w="1142"/>
        <w:gridCol w:w="1003"/>
        <w:gridCol w:w="1096"/>
        <w:gridCol w:w="900"/>
        <w:gridCol w:w="1016"/>
        <w:gridCol w:w="1096"/>
        <w:gridCol w:w="900"/>
        <w:gridCol w:w="900"/>
        <w:gridCol w:w="1277"/>
      </w:tblGrid>
      <w:tr w:rsidR="00906DD0" w:rsidRPr="00906DD0" w14:paraId="406211D9" w14:textId="77777777" w:rsidTr="00CE36E6">
        <w:trPr>
          <w:trHeight w:val="284"/>
        </w:trPr>
        <w:tc>
          <w:tcPr>
            <w:tcW w:w="2144" w:type="dxa"/>
            <w:gridSpan w:val="2"/>
            <w:tcBorders>
              <w:top w:val="nil"/>
              <w:left w:val="nil"/>
              <w:bottom w:val="single" w:sz="8" w:space="0" w:color="CF7B79"/>
            </w:tcBorders>
            <w:shd w:val="clear" w:color="auto" w:fill="auto"/>
            <w:noWrap/>
            <w:vAlign w:val="bottom"/>
            <w:hideMark/>
          </w:tcPr>
          <w:p w14:paraId="2D63EC60" w14:textId="77777777" w:rsidR="00803E44" w:rsidRPr="00906DD0" w:rsidRDefault="00693DE4" w:rsidP="00693DE4">
            <w:pPr>
              <w:jc w:val="right"/>
              <w:rPr>
                <w:rFonts w:ascii="Arial Narrow" w:hAnsi="Arial Narrow" w:cs="Calibri"/>
                <w:color w:val="000000"/>
                <w:spacing w:val="0"/>
                <w:sz w:val="16"/>
                <w:szCs w:val="16"/>
              </w:rPr>
            </w:pPr>
            <w:r w:rsidRPr="00906DD0">
              <w:rPr>
                <w:rFonts w:ascii="Arial Narrow" w:hAnsi="Arial Narrow" w:cs="Calibri"/>
                <w:color w:val="000000"/>
                <w:spacing w:val="0"/>
                <w:sz w:val="16"/>
                <w:szCs w:val="16"/>
              </w:rPr>
              <w:t xml:space="preserve"> </w:t>
            </w:r>
          </w:p>
        </w:tc>
        <w:tc>
          <w:tcPr>
            <w:tcW w:w="0" w:type="auto"/>
            <w:tcBorders>
              <w:top w:val="nil"/>
              <w:bottom w:val="single" w:sz="8" w:space="0" w:color="CF7B79"/>
            </w:tcBorders>
            <w:shd w:val="clear" w:color="auto" w:fill="auto"/>
            <w:noWrap/>
            <w:vAlign w:val="bottom"/>
            <w:hideMark/>
          </w:tcPr>
          <w:p w14:paraId="6D6FE5D4" w14:textId="77777777" w:rsidR="00803E44" w:rsidRPr="00906DD0" w:rsidRDefault="00803E44" w:rsidP="00803E44">
            <w:pPr>
              <w:rPr>
                <w:rFonts w:ascii="Arial Narrow" w:hAnsi="Arial Narrow" w:cs="Arial"/>
                <w:color w:val="000000"/>
                <w:spacing w:val="0"/>
                <w:sz w:val="16"/>
                <w:szCs w:val="16"/>
              </w:rPr>
            </w:pPr>
          </w:p>
        </w:tc>
        <w:tc>
          <w:tcPr>
            <w:tcW w:w="0" w:type="auto"/>
            <w:tcBorders>
              <w:top w:val="nil"/>
              <w:bottom w:val="single" w:sz="8" w:space="0" w:color="CF7B79"/>
            </w:tcBorders>
            <w:shd w:val="clear" w:color="auto" w:fill="auto"/>
            <w:noWrap/>
            <w:vAlign w:val="bottom"/>
            <w:hideMark/>
          </w:tcPr>
          <w:p w14:paraId="78D0F6BD" w14:textId="77777777" w:rsidR="00803E44" w:rsidRPr="00906DD0" w:rsidRDefault="00803E44" w:rsidP="00803E44">
            <w:pPr>
              <w:rPr>
                <w:rFonts w:ascii="Arial Narrow" w:hAnsi="Arial Narrow" w:cs="Arial"/>
                <w:color w:val="000000"/>
                <w:spacing w:val="0"/>
                <w:sz w:val="16"/>
                <w:szCs w:val="16"/>
              </w:rPr>
            </w:pPr>
          </w:p>
        </w:tc>
        <w:tc>
          <w:tcPr>
            <w:tcW w:w="0" w:type="auto"/>
            <w:tcBorders>
              <w:top w:val="nil"/>
              <w:bottom w:val="single" w:sz="8" w:space="0" w:color="CF7B79"/>
            </w:tcBorders>
            <w:shd w:val="clear" w:color="auto" w:fill="auto"/>
            <w:noWrap/>
            <w:vAlign w:val="bottom"/>
            <w:hideMark/>
          </w:tcPr>
          <w:p w14:paraId="0396B344" w14:textId="77777777" w:rsidR="00803E44" w:rsidRPr="00906DD0" w:rsidRDefault="00803E44" w:rsidP="00803E44">
            <w:pPr>
              <w:rPr>
                <w:rFonts w:ascii="Arial Narrow" w:hAnsi="Arial Narrow" w:cs="Arial"/>
                <w:color w:val="000000"/>
                <w:spacing w:val="0"/>
                <w:sz w:val="16"/>
                <w:szCs w:val="16"/>
              </w:rPr>
            </w:pPr>
          </w:p>
        </w:tc>
        <w:tc>
          <w:tcPr>
            <w:tcW w:w="0" w:type="auto"/>
            <w:tcBorders>
              <w:top w:val="nil"/>
              <w:bottom w:val="single" w:sz="8" w:space="0" w:color="CF7B79"/>
            </w:tcBorders>
            <w:shd w:val="clear" w:color="auto" w:fill="auto"/>
            <w:noWrap/>
            <w:vAlign w:val="bottom"/>
            <w:hideMark/>
          </w:tcPr>
          <w:p w14:paraId="4767DBE5" w14:textId="77777777" w:rsidR="00803E44" w:rsidRPr="00906DD0" w:rsidRDefault="00803E44" w:rsidP="00803E44">
            <w:pPr>
              <w:rPr>
                <w:rFonts w:ascii="Arial Narrow" w:hAnsi="Arial Narrow" w:cs="Arial"/>
                <w:color w:val="000000"/>
                <w:spacing w:val="0"/>
                <w:sz w:val="16"/>
                <w:szCs w:val="16"/>
              </w:rPr>
            </w:pPr>
          </w:p>
        </w:tc>
        <w:tc>
          <w:tcPr>
            <w:tcW w:w="0" w:type="auto"/>
            <w:tcBorders>
              <w:top w:val="nil"/>
              <w:bottom w:val="single" w:sz="8" w:space="0" w:color="CF7B79"/>
            </w:tcBorders>
            <w:shd w:val="clear" w:color="auto" w:fill="auto"/>
            <w:noWrap/>
            <w:vAlign w:val="bottom"/>
            <w:hideMark/>
          </w:tcPr>
          <w:p w14:paraId="766BAFC3" w14:textId="77777777" w:rsidR="00803E44" w:rsidRPr="00906DD0" w:rsidRDefault="00803E44" w:rsidP="00803E44">
            <w:pPr>
              <w:rPr>
                <w:rFonts w:ascii="Arial Narrow" w:hAnsi="Arial Narrow" w:cs="Arial"/>
                <w:color w:val="000000"/>
                <w:spacing w:val="0"/>
                <w:sz w:val="16"/>
                <w:szCs w:val="16"/>
              </w:rPr>
            </w:pPr>
          </w:p>
        </w:tc>
        <w:tc>
          <w:tcPr>
            <w:tcW w:w="0" w:type="auto"/>
            <w:tcBorders>
              <w:top w:val="nil"/>
              <w:bottom w:val="single" w:sz="8" w:space="0" w:color="CF7B79"/>
            </w:tcBorders>
            <w:shd w:val="clear" w:color="auto" w:fill="auto"/>
            <w:noWrap/>
            <w:vAlign w:val="bottom"/>
            <w:hideMark/>
          </w:tcPr>
          <w:p w14:paraId="1C42C84C" w14:textId="77777777" w:rsidR="00803E44" w:rsidRPr="00906DD0" w:rsidRDefault="00803E44" w:rsidP="00803E44">
            <w:pPr>
              <w:rPr>
                <w:rFonts w:ascii="Arial Narrow" w:hAnsi="Arial Narrow" w:cs="Arial"/>
                <w:color w:val="000000"/>
                <w:spacing w:val="0"/>
                <w:sz w:val="16"/>
                <w:szCs w:val="16"/>
              </w:rPr>
            </w:pPr>
          </w:p>
        </w:tc>
        <w:tc>
          <w:tcPr>
            <w:tcW w:w="0" w:type="auto"/>
            <w:tcBorders>
              <w:top w:val="nil"/>
              <w:bottom w:val="single" w:sz="8" w:space="0" w:color="CF7B79"/>
              <w:right w:val="nil"/>
            </w:tcBorders>
            <w:shd w:val="clear" w:color="auto" w:fill="auto"/>
            <w:noWrap/>
            <w:vAlign w:val="bottom"/>
            <w:hideMark/>
          </w:tcPr>
          <w:p w14:paraId="490ADA35" w14:textId="77777777" w:rsidR="00803E44" w:rsidRPr="00906DD0" w:rsidRDefault="004B73B4" w:rsidP="00803E44">
            <w:pPr>
              <w:jc w:val="right"/>
              <w:rPr>
                <w:rFonts w:ascii="Arial Narrow" w:hAnsi="Arial Narrow" w:cs="Calibri"/>
                <w:color w:val="000000"/>
                <w:spacing w:val="0"/>
                <w:sz w:val="16"/>
                <w:szCs w:val="16"/>
              </w:rPr>
            </w:pPr>
            <w:r w:rsidRPr="00906DD0">
              <w:rPr>
                <w:rFonts w:ascii="Arial Narrow" w:hAnsi="Arial Narrow" w:cs="Calibri"/>
                <w:color w:val="000000"/>
                <w:spacing w:val="0"/>
                <w:sz w:val="16"/>
                <w:szCs w:val="16"/>
              </w:rPr>
              <w:t>20</w:t>
            </w:r>
            <w:r w:rsidR="002604EA" w:rsidRPr="00906DD0">
              <w:rPr>
                <w:rFonts w:ascii="Arial Narrow" w:hAnsi="Arial Narrow" w:cs="Calibri"/>
                <w:color w:val="000000"/>
                <w:spacing w:val="0"/>
                <w:sz w:val="16"/>
                <w:szCs w:val="16"/>
              </w:rPr>
              <w:t>21</w:t>
            </w:r>
            <w:r w:rsidRPr="00906DD0">
              <w:rPr>
                <w:rFonts w:ascii="Arial Narrow" w:hAnsi="Arial Narrow" w:cs="Calibri"/>
                <w:color w:val="000000"/>
                <w:spacing w:val="0"/>
                <w:sz w:val="16"/>
                <w:szCs w:val="16"/>
              </w:rPr>
              <w:t>=100</w:t>
            </w:r>
          </w:p>
        </w:tc>
      </w:tr>
      <w:tr w:rsidR="00803E44" w:rsidRPr="00906DD0" w14:paraId="722CB53C" w14:textId="77777777" w:rsidTr="00CE36E6">
        <w:trPr>
          <w:trHeight w:val="284"/>
        </w:trPr>
        <w:tc>
          <w:tcPr>
            <w:tcW w:w="1141" w:type="dxa"/>
            <w:tcBorders>
              <w:bottom w:val="nil"/>
            </w:tcBorders>
            <w:shd w:val="clear" w:color="000000" w:fill="C0504D"/>
            <w:vAlign w:val="center"/>
            <w:hideMark/>
          </w:tcPr>
          <w:p w14:paraId="0D538F92" w14:textId="77777777" w:rsidR="00803E44" w:rsidRPr="00906DD0" w:rsidRDefault="007C1C9E" w:rsidP="00906DD0">
            <w:pPr>
              <w:rPr>
                <w:rFonts w:ascii="Arial Narrow" w:hAnsi="Arial Narrow" w:cs="Calibri"/>
                <w:b/>
                <w:color w:val="FFFFFF"/>
                <w:spacing w:val="0"/>
                <w:sz w:val="16"/>
                <w:szCs w:val="16"/>
              </w:rPr>
            </w:pPr>
            <w:r w:rsidRPr="00906DD0">
              <w:rPr>
                <w:rFonts w:ascii="Arial Narrow" w:hAnsi="Arial Narrow" w:cs="Calibri"/>
                <w:color w:val="FFFFFF"/>
                <w:spacing w:val="0"/>
                <w:sz w:val="16"/>
                <w:szCs w:val="16"/>
              </w:rPr>
              <w:t>NACE Rev. 2</w:t>
            </w:r>
          </w:p>
        </w:tc>
        <w:tc>
          <w:tcPr>
            <w:tcW w:w="0" w:type="auto"/>
            <w:gridSpan w:val="8"/>
            <w:tcBorders>
              <w:bottom w:val="nil"/>
            </w:tcBorders>
            <w:shd w:val="clear" w:color="000000" w:fill="C0504D"/>
            <w:vAlign w:val="center"/>
            <w:hideMark/>
          </w:tcPr>
          <w:p w14:paraId="59B7906E" w14:textId="77777777" w:rsidR="00803E44" w:rsidRPr="00906DD0" w:rsidRDefault="007C1C9E" w:rsidP="00F718B7">
            <w:pPr>
              <w:jc w:val="center"/>
              <w:rPr>
                <w:rFonts w:ascii="Arial Narrow" w:hAnsi="Arial Narrow" w:cs="Calibri"/>
                <w:b/>
                <w:color w:val="FFFFFF"/>
                <w:spacing w:val="0"/>
                <w:sz w:val="16"/>
                <w:szCs w:val="16"/>
              </w:rPr>
            </w:pPr>
            <w:r w:rsidRPr="00906DD0">
              <w:rPr>
                <w:rFonts w:ascii="Arial Narrow" w:hAnsi="Arial Narrow" w:cs="Calibri"/>
                <w:color w:val="FFFFFF"/>
                <w:spacing w:val="0"/>
                <w:sz w:val="16"/>
                <w:szCs w:val="16"/>
              </w:rPr>
              <w:t>Group</w:t>
            </w:r>
            <w:r w:rsidR="00803E44" w:rsidRPr="00906DD0">
              <w:rPr>
                <w:rFonts w:ascii="Arial Narrow" w:hAnsi="Arial Narrow" w:cs="Calibri"/>
                <w:b/>
                <w:color w:val="FFFFFF"/>
                <w:spacing w:val="0"/>
                <w:sz w:val="16"/>
                <w:szCs w:val="16"/>
              </w:rPr>
              <w:t xml:space="preserve"> 4730</w:t>
            </w:r>
          </w:p>
        </w:tc>
      </w:tr>
      <w:tr w:rsidR="0008516C" w:rsidRPr="00906DD0" w14:paraId="23196916" w14:textId="77777777" w:rsidTr="00CE36E6">
        <w:trPr>
          <w:trHeight w:val="222"/>
        </w:trPr>
        <w:tc>
          <w:tcPr>
            <w:tcW w:w="1141" w:type="dxa"/>
            <w:tcBorders>
              <w:top w:val="nil"/>
              <w:bottom w:val="nil"/>
            </w:tcBorders>
            <w:shd w:val="clear" w:color="000000" w:fill="E6B9B8"/>
            <w:vAlign w:val="center"/>
            <w:hideMark/>
          </w:tcPr>
          <w:p w14:paraId="3831A081" w14:textId="77777777" w:rsidR="0008516C" w:rsidRPr="00906DD0" w:rsidRDefault="0008516C" w:rsidP="00906DD0">
            <w:pPr>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Year</w:t>
            </w:r>
          </w:p>
        </w:tc>
        <w:tc>
          <w:tcPr>
            <w:tcW w:w="0" w:type="auto"/>
            <w:gridSpan w:val="2"/>
            <w:tcBorders>
              <w:top w:val="nil"/>
              <w:bottom w:val="nil"/>
            </w:tcBorders>
            <w:shd w:val="clear" w:color="000000" w:fill="E6B9B8"/>
            <w:hideMark/>
          </w:tcPr>
          <w:p w14:paraId="62E7494E" w14:textId="77777777" w:rsidR="0008516C" w:rsidRPr="00906DD0" w:rsidRDefault="00906DD0" w:rsidP="00906DD0">
            <w:pPr>
              <w:jc w:val="center"/>
              <w:rPr>
                <w:rFonts w:ascii="Arial Narrow" w:hAnsi="Arial Narrow"/>
                <w:sz w:val="16"/>
                <w:szCs w:val="16"/>
              </w:rPr>
            </w:pPr>
            <w:r>
              <w:rPr>
                <w:rFonts w:ascii="Arial Narrow" w:hAnsi="Arial Narrow" w:cs="Calibri"/>
                <w:b/>
                <w:bCs/>
                <w:spacing w:val="0"/>
                <w:sz w:val="16"/>
                <w:szCs w:val="16"/>
                <w:lang w:val="sq-AL"/>
              </w:rPr>
              <w:t xml:space="preserve">           </w:t>
            </w:r>
            <w:r w:rsidR="0008516C" w:rsidRPr="00906DD0">
              <w:rPr>
                <w:rFonts w:ascii="Arial Narrow" w:hAnsi="Arial Narrow" w:cs="Calibri"/>
                <w:b/>
                <w:bCs/>
                <w:spacing w:val="0"/>
                <w:sz w:val="16"/>
                <w:szCs w:val="16"/>
                <w:lang w:val="sq-AL"/>
              </w:rPr>
              <w:t>2021</w:t>
            </w:r>
          </w:p>
        </w:tc>
        <w:tc>
          <w:tcPr>
            <w:tcW w:w="0" w:type="auto"/>
            <w:gridSpan w:val="2"/>
            <w:tcBorders>
              <w:top w:val="nil"/>
              <w:bottom w:val="nil"/>
            </w:tcBorders>
            <w:shd w:val="clear" w:color="000000" w:fill="E6B9B8"/>
            <w:hideMark/>
          </w:tcPr>
          <w:p w14:paraId="5DF42A5F" w14:textId="77777777" w:rsidR="0008516C" w:rsidRPr="00906DD0" w:rsidRDefault="00906DD0" w:rsidP="00906DD0">
            <w:pPr>
              <w:jc w:val="center"/>
              <w:rPr>
                <w:rFonts w:ascii="Arial Narrow" w:hAnsi="Arial Narrow" w:cs="Calibri"/>
                <w:b/>
                <w:bCs/>
                <w:spacing w:val="0"/>
                <w:sz w:val="16"/>
                <w:szCs w:val="16"/>
                <w:lang w:val="sq-AL"/>
              </w:rPr>
            </w:pPr>
            <w:r>
              <w:rPr>
                <w:rFonts w:ascii="Arial Narrow" w:hAnsi="Arial Narrow" w:cs="Calibri"/>
                <w:b/>
                <w:bCs/>
                <w:spacing w:val="0"/>
                <w:sz w:val="16"/>
                <w:szCs w:val="16"/>
                <w:lang w:val="sq-AL"/>
              </w:rPr>
              <w:t xml:space="preserve">       </w:t>
            </w:r>
            <w:r w:rsidR="0008516C" w:rsidRPr="00906DD0">
              <w:rPr>
                <w:rFonts w:ascii="Arial Narrow" w:hAnsi="Arial Narrow" w:cs="Calibri"/>
                <w:b/>
                <w:bCs/>
                <w:spacing w:val="0"/>
                <w:sz w:val="16"/>
                <w:szCs w:val="16"/>
                <w:lang w:val="sq-AL"/>
              </w:rPr>
              <w:t>2022</w:t>
            </w:r>
          </w:p>
        </w:tc>
        <w:tc>
          <w:tcPr>
            <w:tcW w:w="0" w:type="auto"/>
            <w:gridSpan w:val="2"/>
            <w:tcBorders>
              <w:top w:val="nil"/>
              <w:bottom w:val="nil"/>
            </w:tcBorders>
            <w:shd w:val="clear" w:color="000000" w:fill="E6B9B8"/>
            <w:hideMark/>
          </w:tcPr>
          <w:p w14:paraId="7B0A7412" w14:textId="77777777" w:rsidR="0008516C" w:rsidRPr="00906DD0" w:rsidRDefault="00906DD0" w:rsidP="00906DD0">
            <w:pPr>
              <w:jc w:val="center"/>
              <w:rPr>
                <w:rFonts w:ascii="Arial Narrow" w:hAnsi="Arial Narrow" w:cs="Calibri"/>
                <w:b/>
                <w:bCs/>
                <w:spacing w:val="0"/>
                <w:sz w:val="16"/>
                <w:szCs w:val="16"/>
                <w:lang w:val="sq-AL"/>
              </w:rPr>
            </w:pPr>
            <w:r>
              <w:rPr>
                <w:rFonts w:ascii="Arial Narrow" w:hAnsi="Arial Narrow" w:cs="Calibri"/>
                <w:b/>
                <w:bCs/>
                <w:spacing w:val="0"/>
                <w:sz w:val="16"/>
                <w:szCs w:val="16"/>
                <w:lang w:val="sq-AL"/>
              </w:rPr>
              <w:t xml:space="preserve">          </w:t>
            </w:r>
            <w:r w:rsidR="0008516C" w:rsidRPr="00906DD0">
              <w:rPr>
                <w:rFonts w:ascii="Arial Narrow" w:hAnsi="Arial Narrow" w:cs="Calibri"/>
                <w:b/>
                <w:bCs/>
                <w:spacing w:val="0"/>
                <w:sz w:val="16"/>
                <w:szCs w:val="16"/>
                <w:lang w:val="sq-AL"/>
              </w:rPr>
              <w:t>2023</w:t>
            </w:r>
          </w:p>
        </w:tc>
        <w:tc>
          <w:tcPr>
            <w:tcW w:w="0" w:type="auto"/>
            <w:gridSpan w:val="2"/>
            <w:tcBorders>
              <w:top w:val="nil"/>
              <w:bottom w:val="nil"/>
            </w:tcBorders>
            <w:shd w:val="clear" w:color="000000" w:fill="E6B9B8"/>
            <w:hideMark/>
          </w:tcPr>
          <w:p w14:paraId="5B13D684" w14:textId="77777777" w:rsidR="0008516C" w:rsidRPr="00906DD0" w:rsidRDefault="00906DD0" w:rsidP="00906DD0">
            <w:pPr>
              <w:jc w:val="center"/>
              <w:rPr>
                <w:rFonts w:ascii="Arial Narrow" w:hAnsi="Arial Narrow" w:cs="Calibri"/>
                <w:b/>
                <w:bCs/>
                <w:spacing w:val="0"/>
                <w:sz w:val="16"/>
                <w:szCs w:val="16"/>
                <w:lang w:val="sq-AL"/>
              </w:rPr>
            </w:pPr>
            <w:r>
              <w:rPr>
                <w:rFonts w:ascii="Arial Narrow" w:hAnsi="Arial Narrow" w:cs="Calibri"/>
                <w:b/>
                <w:bCs/>
                <w:spacing w:val="0"/>
                <w:sz w:val="16"/>
                <w:szCs w:val="16"/>
                <w:lang w:val="sq-AL"/>
              </w:rPr>
              <w:t xml:space="preserve">      </w:t>
            </w:r>
            <w:r w:rsidR="0008516C" w:rsidRPr="00906DD0">
              <w:rPr>
                <w:rFonts w:ascii="Arial Narrow" w:hAnsi="Arial Narrow" w:cs="Calibri"/>
                <w:b/>
                <w:bCs/>
                <w:spacing w:val="0"/>
                <w:sz w:val="16"/>
                <w:szCs w:val="16"/>
                <w:lang w:val="sq-AL"/>
              </w:rPr>
              <w:t>2024</w:t>
            </w:r>
          </w:p>
        </w:tc>
      </w:tr>
      <w:tr w:rsidR="00906DD0" w:rsidRPr="00906DD0" w14:paraId="526062DC" w14:textId="77777777" w:rsidTr="00CE36E6">
        <w:trPr>
          <w:trHeight w:val="370"/>
        </w:trPr>
        <w:tc>
          <w:tcPr>
            <w:tcW w:w="1141" w:type="dxa"/>
            <w:tcBorders>
              <w:top w:val="nil"/>
            </w:tcBorders>
            <w:shd w:val="clear" w:color="000000" w:fill="FFFFFF"/>
            <w:vAlign w:val="center"/>
            <w:hideMark/>
          </w:tcPr>
          <w:p w14:paraId="20E13062" w14:textId="77777777" w:rsidR="00F2646A" w:rsidRPr="00906DD0" w:rsidRDefault="00F2646A" w:rsidP="00906DD0">
            <w:pPr>
              <w:rPr>
                <w:rFonts w:ascii="Arial Narrow" w:hAnsi="Arial Narrow" w:cs="Calibri"/>
                <w:color w:val="000000"/>
                <w:spacing w:val="0"/>
                <w:sz w:val="16"/>
                <w:szCs w:val="16"/>
              </w:rPr>
            </w:pPr>
            <w:r w:rsidRPr="00906DD0">
              <w:rPr>
                <w:rFonts w:ascii="Arial Narrow" w:hAnsi="Arial Narrow" w:cs="Arial"/>
                <w:spacing w:val="0"/>
                <w:sz w:val="16"/>
                <w:szCs w:val="16"/>
              </w:rPr>
              <w:t>Month</w:t>
            </w:r>
          </w:p>
        </w:tc>
        <w:tc>
          <w:tcPr>
            <w:tcW w:w="0" w:type="auto"/>
            <w:tcBorders>
              <w:top w:val="nil"/>
            </w:tcBorders>
            <w:shd w:val="clear" w:color="000000" w:fill="FFFFFF"/>
            <w:vAlign w:val="center"/>
            <w:hideMark/>
          </w:tcPr>
          <w:p w14:paraId="7A09ECB3"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  Value</w:t>
            </w:r>
          </w:p>
        </w:tc>
        <w:tc>
          <w:tcPr>
            <w:tcW w:w="0" w:type="auto"/>
            <w:tcBorders>
              <w:top w:val="nil"/>
            </w:tcBorders>
            <w:shd w:val="clear" w:color="000000" w:fill="FFFFFF"/>
            <w:vAlign w:val="center"/>
            <w:hideMark/>
          </w:tcPr>
          <w:p w14:paraId="69CA8BB5"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Volume </w:t>
            </w:r>
          </w:p>
        </w:tc>
        <w:tc>
          <w:tcPr>
            <w:tcW w:w="0" w:type="auto"/>
            <w:tcBorders>
              <w:top w:val="nil"/>
            </w:tcBorders>
            <w:shd w:val="clear" w:color="000000" w:fill="FFFFFF"/>
            <w:vAlign w:val="center"/>
            <w:hideMark/>
          </w:tcPr>
          <w:p w14:paraId="1A5E8230"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Value </w:t>
            </w:r>
          </w:p>
        </w:tc>
        <w:tc>
          <w:tcPr>
            <w:tcW w:w="0" w:type="auto"/>
            <w:tcBorders>
              <w:top w:val="nil"/>
            </w:tcBorders>
            <w:shd w:val="clear" w:color="000000" w:fill="FFFFFF"/>
            <w:vAlign w:val="center"/>
            <w:hideMark/>
          </w:tcPr>
          <w:p w14:paraId="36B52056"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  Value</w:t>
            </w:r>
          </w:p>
        </w:tc>
        <w:tc>
          <w:tcPr>
            <w:tcW w:w="0" w:type="auto"/>
            <w:tcBorders>
              <w:top w:val="nil"/>
            </w:tcBorders>
            <w:shd w:val="clear" w:color="000000" w:fill="FFFFFF"/>
            <w:vAlign w:val="center"/>
            <w:hideMark/>
          </w:tcPr>
          <w:p w14:paraId="5DA66639"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Volume </w:t>
            </w:r>
          </w:p>
        </w:tc>
        <w:tc>
          <w:tcPr>
            <w:tcW w:w="0" w:type="auto"/>
            <w:tcBorders>
              <w:top w:val="nil"/>
            </w:tcBorders>
            <w:shd w:val="clear" w:color="000000" w:fill="FFFFFF"/>
            <w:vAlign w:val="center"/>
            <w:hideMark/>
          </w:tcPr>
          <w:p w14:paraId="53AC7086"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Value </w:t>
            </w:r>
          </w:p>
        </w:tc>
        <w:tc>
          <w:tcPr>
            <w:tcW w:w="0" w:type="auto"/>
            <w:tcBorders>
              <w:top w:val="nil"/>
            </w:tcBorders>
            <w:shd w:val="clear" w:color="000000" w:fill="FFFFFF"/>
            <w:vAlign w:val="center"/>
            <w:hideMark/>
          </w:tcPr>
          <w:p w14:paraId="19659A07"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Value </w:t>
            </w:r>
          </w:p>
        </w:tc>
        <w:tc>
          <w:tcPr>
            <w:tcW w:w="0" w:type="auto"/>
            <w:tcBorders>
              <w:top w:val="nil"/>
            </w:tcBorders>
            <w:shd w:val="clear" w:color="000000" w:fill="FFFFFF"/>
            <w:vAlign w:val="center"/>
            <w:hideMark/>
          </w:tcPr>
          <w:p w14:paraId="69D2ADBF" w14:textId="77777777" w:rsidR="00F2646A" w:rsidRPr="00906DD0" w:rsidRDefault="00F2646A" w:rsidP="00906DD0">
            <w:pPr>
              <w:jc w:val="right"/>
              <w:rPr>
                <w:rFonts w:ascii="Arial Narrow" w:hAnsi="Arial Narrow" w:cs="Calibri"/>
                <w:b/>
                <w:bCs/>
                <w:color w:val="000000"/>
                <w:spacing w:val="0"/>
                <w:sz w:val="16"/>
                <w:szCs w:val="16"/>
              </w:rPr>
            </w:pPr>
            <w:r w:rsidRPr="00906DD0">
              <w:rPr>
                <w:rFonts w:ascii="Arial Narrow" w:hAnsi="Arial Narrow" w:cs="Calibri"/>
                <w:b/>
                <w:bCs/>
                <w:color w:val="000000"/>
                <w:spacing w:val="0"/>
                <w:sz w:val="16"/>
                <w:szCs w:val="16"/>
              </w:rPr>
              <w:t xml:space="preserve">Volume </w:t>
            </w:r>
          </w:p>
        </w:tc>
      </w:tr>
      <w:tr w:rsidR="00906DD0" w:rsidRPr="00906DD0" w14:paraId="5B2941FD" w14:textId="77777777" w:rsidTr="00CE36E6">
        <w:trPr>
          <w:trHeight w:val="284"/>
        </w:trPr>
        <w:tc>
          <w:tcPr>
            <w:tcW w:w="1141" w:type="dxa"/>
            <w:shd w:val="clear" w:color="000000" w:fill="FFFFFF"/>
            <w:vAlign w:val="center"/>
            <w:hideMark/>
          </w:tcPr>
          <w:p w14:paraId="56BD7008" w14:textId="77777777" w:rsidR="002604EA" w:rsidRPr="00906DD0" w:rsidRDefault="002604EA"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1</w:t>
            </w:r>
          </w:p>
        </w:tc>
        <w:tc>
          <w:tcPr>
            <w:tcW w:w="0" w:type="auto"/>
            <w:shd w:val="clear" w:color="000000" w:fill="FFFFFF"/>
            <w:noWrap/>
            <w:hideMark/>
          </w:tcPr>
          <w:p w14:paraId="3C7FC224"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78.2</w:t>
            </w:r>
          </w:p>
        </w:tc>
        <w:tc>
          <w:tcPr>
            <w:tcW w:w="0" w:type="auto"/>
            <w:shd w:val="clear" w:color="000000" w:fill="FFFFFF"/>
            <w:noWrap/>
            <w:hideMark/>
          </w:tcPr>
          <w:p w14:paraId="0C47B3C0"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85.8</w:t>
            </w:r>
          </w:p>
        </w:tc>
        <w:tc>
          <w:tcPr>
            <w:tcW w:w="0" w:type="auto"/>
            <w:shd w:val="clear" w:color="000000" w:fill="FFFFFF"/>
            <w:noWrap/>
          </w:tcPr>
          <w:p w14:paraId="35C789F8"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102.8</w:t>
            </w:r>
          </w:p>
        </w:tc>
        <w:tc>
          <w:tcPr>
            <w:tcW w:w="0" w:type="auto"/>
            <w:shd w:val="clear" w:color="000000" w:fill="FFFFFF"/>
            <w:noWrap/>
          </w:tcPr>
          <w:p w14:paraId="4304B1E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93.4</w:t>
            </w:r>
          </w:p>
        </w:tc>
        <w:tc>
          <w:tcPr>
            <w:tcW w:w="0" w:type="auto"/>
            <w:shd w:val="clear" w:color="000000" w:fill="FFFFFF"/>
            <w:noWrap/>
          </w:tcPr>
          <w:p w14:paraId="262AD233"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115.9</w:t>
            </w:r>
          </w:p>
        </w:tc>
        <w:tc>
          <w:tcPr>
            <w:tcW w:w="0" w:type="auto"/>
            <w:shd w:val="clear" w:color="000000" w:fill="FFFFFF"/>
            <w:noWrap/>
          </w:tcPr>
          <w:p w14:paraId="53CEC717"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98.7</w:t>
            </w:r>
          </w:p>
        </w:tc>
        <w:tc>
          <w:tcPr>
            <w:tcW w:w="0" w:type="auto"/>
            <w:shd w:val="clear" w:color="000000" w:fill="FFFFFF"/>
            <w:noWrap/>
            <w:vAlign w:val="center"/>
          </w:tcPr>
          <w:p w14:paraId="3EB8B205"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108</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0</w:t>
            </w:r>
          </w:p>
        </w:tc>
        <w:tc>
          <w:tcPr>
            <w:tcW w:w="0" w:type="auto"/>
            <w:shd w:val="clear" w:color="000000" w:fill="FFFFFF"/>
            <w:noWrap/>
            <w:vAlign w:val="center"/>
          </w:tcPr>
          <w:p w14:paraId="4E923C89"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97</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9</w:t>
            </w:r>
          </w:p>
        </w:tc>
      </w:tr>
      <w:tr w:rsidR="00906DD0" w:rsidRPr="00906DD0" w14:paraId="1600A57F" w14:textId="77777777" w:rsidTr="00CE36E6">
        <w:trPr>
          <w:trHeight w:val="266"/>
        </w:trPr>
        <w:tc>
          <w:tcPr>
            <w:tcW w:w="1141" w:type="dxa"/>
            <w:shd w:val="clear" w:color="000000" w:fill="FFFFFF"/>
            <w:vAlign w:val="center"/>
            <w:hideMark/>
          </w:tcPr>
          <w:p w14:paraId="58D5682A" w14:textId="77777777" w:rsidR="002604EA" w:rsidRPr="00906DD0" w:rsidRDefault="002604EA"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2</w:t>
            </w:r>
          </w:p>
        </w:tc>
        <w:tc>
          <w:tcPr>
            <w:tcW w:w="0" w:type="auto"/>
            <w:shd w:val="clear" w:color="000000" w:fill="FFFFFF"/>
            <w:noWrap/>
            <w:hideMark/>
          </w:tcPr>
          <w:p w14:paraId="0E0A0A9F"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77.3</w:t>
            </w:r>
          </w:p>
        </w:tc>
        <w:tc>
          <w:tcPr>
            <w:tcW w:w="0" w:type="auto"/>
            <w:shd w:val="clear" w:color="000000" w:fill="FFFFFF"/>
            <w:noWrap/>
            <w:hideMark/>
          </w:tcPr>
          <w:p w14:paraId="324636C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83.0</w:t>
            </w:r>
          </w:p>
        </w:tc>
        <w:tc>
          <w:tcPr>
            <w:tcW w:w="0" w:type="auto"/>
            <w:shd w:val="clear" w:color="000000" w:fill="FFFFFF"/>
            <w:noWrap/>
          </w:tcPr>
          <w:p w14:paraId="4AB1236C"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103.4</w:t>
            </w:r>
          </w:p>
        </w:tc>
        <w:tc>
          <w:tcPr>
            <w:tcW w:w="0" w:type="auto"/>
            <w:shd w:val="clear" w:color="000000" w:fill="FFFFFF"/>
            <w:noWrap/>
          </w:tcPr>
          <w:p w14:paraId="08A8D4FB"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90.5</w:t>
            </w:r>
          </w:p>
        </w:tc>
        <w:tc>
          <w:tcPr>
            <w:tcW w:w="0" w:type="auto"/>
            <w:shd w:val="clear" w:color="000000" w:fill="FFFFFF"/>
            <w:noWrap/>
          </w:tcPr>
          <w:p w14:paraId="4FFF667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105.2</w:t>
            </w:r>
          </w:p>
        </w:tc>
        <w:tc>
          <w:tcPr>
            <w:tcW w:w="0" w:type="auto"/>
            <w:shd w:val="clear" w:color="000000" w:fill="FFFFFF"/>
            <w:noWrap/>
          </w:tcPr>
          <w:p w14:paraId="140BCA4A"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93.3</w:t>
            </w:r>
          </w:p>
        </w:tc>
        <w:tc>
          <w:tcPr>
            <w:tcW w:w="0" w:type="auto"/>
            <w:shd w:val="clear" w:color="000000" w:fill="FFFFFF"/>
            <w:noWrap/>
            <w:vAlign w:val="center"/>
          </w:tcPr>
          <w:p w14:paraId="235C3C8C"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105</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6</w:t>
            </w:r>
          </w:p>
        </w:tc>
        <w:tc>
          <w:tcPr>
            <w:tcW w:w="0" w:type="auto"/>
            <w:shd w:val="clear" w:color="000000" w:fill="FFFFFF"/>
            <w:noWrap/>
            <w:vAlign w:val="center"/>
          </w:tcPr>
          <w:p w14:paraId="248B7B29"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95</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7</w:t>
            </w:r>
          </w:p>
        </w:tc>
      </w:tr>
      <w:tr w:rsidR="00906DD0" w:rsidRPr="00906DD0" w14:paraId="3EB01279" w14:textId="77777777" w:rsidTr="00CE36E6">
        <w:trPr>
          <w:trHeight w:val="284"/>
        </w:trPr>
        <w:tc>
          <w:tcPr>
            <w:tcW w:w="1141" w:type="dxa"/>
            <w:shd w:val="clear" w:color="000000" w:fill="FFFFFF"/>
            <w:vAlign w:val="center"/>
            <w:hideMark/>
          </w:tcPr>
          <w:p w14:paraId="31D9A532" w14:textId="77777777" w:rsidR="002604EA" w:rsidRPr="00906DD0" w:rsidRDefault="002604EA"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3</w:t>
            </w:r>
          </w:p>
        </w:tc>
        <w:tc>
          <w:tcPr>
            <w:tcW w:w="0" w:type="auto"/>
            <w:shd w:val="clear" w:color="000000" w:fill="FFFFFF"/>
            <w:noWrap/>
            <w:hideMark/>
          </w:tcPr>
          <w:p w14:paraId="05A34184"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92.1</w:t>
            </w:r>
          </w:p>
        </w:tc>
        <w:tc>
          <w:tcPr>
            <w:tcW w:w="0" w:type="auto"/>
            <w:shd w:val="clear" w:color="000000" w:fill="FFFFFF"/>
            <w:noWrap/>
            <w:hideMark/>
          </w:tcPr>
          <w:p w14:paraId="631509F7"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98.3</w:t>
            </w:r>
          </w:p>
        </w:tc>
        <w:tc>
          <w:tcPr>
            <w:tcW w:w="0" w:type="auto"/>
            <w:shd w:val="clear" w:color="000000" w:fill="FFFFFF"/>
            <w:noWrap/>
          </w:tcPr>
          <w:p w14:paraId="392C3E98"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122.4</w:t>
            </w:r>
          </w:p>
        </w:tc>
        <w:tc>
          <w:tcPr>
            <w:tcW w:w="0" w:type="auto"/>
            <w:shd w:val="clear" w:color="000000" w:fill="FFFFFF"/>
            <w:noWrap/>
          </w:tcPr>
          <w:p w14:paraId="716A1C57"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94.4</w:t>
            </w:r>
          </w:p>
        </w:tc>
        <w:tc>
          <w:tcPr>
            <w:tcW w:w="0" w:type="auto"/>
            <w:shd w:val="clear" w:color="000000" w:fill="FFFFFF"/>
            <w:noWrap/>
          </w:tcPr>
          <w:p w14:paraId="0ECE2E9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110.9</w:t>
            </w:r>
          </w:p>
        </w:tc>
        <w:tc>
          <w:tcPr>
            <w:tcW w:w="0" w:type="auto"/>
            <w:shd w:val="clear" w:color="000000" w:fill="FFFFFF"/>
            <w:noWrap/>
          </w:tcPr>
          <w:p w14:paraId="16DF245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100.1</w:t>
            </w:r>
          </w:p>
        </w:tc>
        <w:tc>
          <w:tcPr>
            <w:tcW w:w="0" w:type="auto"/>
            <w:shd w:val="clear" w:color="000000" w:fill="FFFFFF"/>
            <w:noWrap/>
            <w:vAlign w:val="center"/>
          </w:tcPr>
          <w:p w14:paraId="0982C9C6"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116</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0</w:t>
            </w:r>
          </w:p>
        </w:tc>
        <w:tc>
          <w:tcPr>
            <w:tcW w:w="0" w:type="auto"/>
            <w:shd w:val="clear" w:color="000000" w:fill="FFFFFF"/>
            <w:noWrap/>
            <w:vAlign w:val="center"/>
          </w:tcPr>
          <w:p w14:paraId="79835711" w14:textId="77777777" w:rsidR="002604EA" w:rsidRPr="00906DD0" w:rsidRDefault="002604EA"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105</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3</w:t>
            </w:r>
          </w:p>
        </w:tc>
      </w:tr>
      <w:tr w:rsidR="00906DD0" w:rsidRPr="00906DD0" w14:paraId="47E683E8" w14:textId="77777777" w:rsidTr="00CE36E6">
        <w:trPr>
          <w:trHeight w:val="284"/>
        </w:trPr>
        <w:tc>
          <w:tcPr>
            <w:tcW w:w="1141" w:type="dxa"/>
            <w:shd w:val="clear" w:color="000000" w:fill="FFFFFF"/>
            <w:vAlign w:val="center"/>
            <w:hideMark/>
          </w:tcPr>
          <w:p w14:paraId="03C189FF" w14:textId="77777777" w:rsidR="0064668E" w:rsidRPr="00906DD0" w:rsidRDefault="0064668E"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4</w:t>
            </w:r>
          </w:p>
        </w:tc>
        <w:tc>
          <w:tcPr>
            <w:tcW w:w="0" w:type="auto"/>
            <w:shd w:val="clear" w:color="000000" w:fill="FFFFFF"/>
            <w:noWrap/>
            <w:hideMark/>
          </w:tcPr>
          <w:p w14:paraId="32D7AD8A"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83.0</w:t>
            </w:r>
          </w:p>
        </w:tc>
        <w:tc>
          <w:tcPr>
            <w:tcW w:w="0" w:type="auto"/>
            <w:shd w:val="clear" w:color="000000" w:fill="FFFFFF"/>
            <w:noWrap/>
            <w:hideMark/>
          </w:tcPr>
          <w:p w14:paraId="17295FED"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88.3</w:t>
            </w:r>
          </w:p>
        </w:tc>
        <w:tc>
          <w:tcPr>
            <w:tcW w:w="0" w:type="auto"/>
            <w:shd w:val="clear" w:color="000000" w:fill="FFFFFF"/>
            <w:noWrap/>
          </w:tcPr>
          <w:p w14:paraId="2951C3F1"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132.4</w:t>
            </w:r>
          </w:p>
        </w:tc>
        <w:tc>
          <w:tcPr>
            <w:tcW w:w="0" w:type="auto"/>
            <w:shd w:val="clear" w:color="000000" w:fill="FFFFFF"/>
            <w:noWrap/>
          </w:tcPr>
          <w:p w14:paraId="40D6BAE9"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100.3</w:t>
            </w:r>
          </w:p>
        </w:tc>
        <w:tc>
          <w:tcPr>
            <w:tcW w:w="0" w:type="auto"/>
            <w:shd w:val="clear" w:color="000000" w:fill="FFFFFF"/>
            <w:noWrap/>
          </w:tcPr>
          <w:p w14:paraId="08CD45A1"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120.6</w:t>
            </w:r>
          </w:p>
        </w:tc>
        <w:tc>
          <w:tcPr>
            <w:tcW w:w="0" w:type="auto"/>
            <w:shd w:val="clear" w:color="000000" w:fill="FFFFFF"/>
            <w:noWrap/>
          </w:tcPr>
          <w:p w14:paraId="45F4E1D1"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111.7</w:t>
            </w:r>
          </w:p>
        </w:tc>
        <w:tc>
          <w:tcPr>
            <w:tcW w:w="0" w:type="auto"/>
            <w:shd w:val="clear" w:color="000000" w:fill="FFFFFF"/>
            <w:noWrap/>
            <w:vAlign w:val="center"/>
          </w:tcPr>
          <w:p w14:paraId="5E87EED5"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116</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4</w:t>
            </w:r>
          </w:p>
        </w:tc>
        <w:tc>
          <w:tcPr>
            <w:tcW w:w="0" w:type="auto"/>
            <w:shd w:val="clear" w:color="000000" w:fill="FFFFFF"/>
            <w:noWrap/>
            <w:vAlign w:val="center"/>
          </w:tcPr>
          <w:p w14:paraId="1FE24E67"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105</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8</w:t>
            </w:r>
          </w:p>
        </w:tc>
      </w:tr>
      <w:tr w:rsidR="00906DD0" w:rsidRPr="00906DD0" w14:paraId="17751BD3" w14:textId="77777777" w:rsidTr="00CE36E6">
        <w:trPr>
          <w:trHeight w:val="352"/>
        </w:trPr>
        <w:tc>
          <w:tcPr>
            <w:tcW w:w="1141" w:type="dxa"/>
            <w:shd w:val="clear" w:color="000000" w:fill="FFFFFF"/>
            <w:vAlign w:val="center"/>
            <w:hideMark/>
          </w:tcPr>
          <w:p w14:paraId="715F47DA" w14:textId="77777777" w:rsidR="0064668E" w:rsidRPr="00906DD0" w:rsidRDefault="0064668E"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5</w:t>
            </w:r>
          </w:p>
        </w:tc>
        <w:tc>
          <w:tcPr>
            <w:tcW w:w="0" w:type="auto"/>
            <w:shd w:val="clear" w:color="000000" w:fill="FFFFFF"/>
            <w:noWrap/>
            <w:hideMark/>
          </w:tcPr>
          <w:p w14:paraId="6F545799"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91.0</w:t>
            </w:r>
          </w:p>
        </w:tc>
        <w:tc>
          <w:tcPr>
            <w:tcW w:w="0" w:type="auto"/>
            <w:shd w:val="clear" w:color="000000" w:fill="FFFFFF"/>
            <w:noWrap/>
            <w:hideMark/>
          </w:tcPr>
          <w:p w14:paraId="11B18DE2"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93.9</w:t>
            </w:r>
          </w:p>
        </w:tc>
        <w:tc>
          <w:tcPr>
            <w:tcW w:w="0" w:type="auto"/>
            <w:shd w:val="clear" w:color="000000" w:fill="FFFFFF"/>
            <w:noWrap/>
          </w:tcPr>
          <w:p w14:paraId="639CCFF8"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132.2</w:t>
            </w:r>
          </w:p>
        </w:tc>
        <w:tc>
          <w:tcPr>
            <w:tcW w:w="0" w:type="auto"/>
            <w:shd w:val="clear" w:color="000000" w:fill="FFFFFF"/>
            <w:noWrap/>
          </w:tcPr>
          <w:p w14:paraId="11E35821"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96.0</w:t>
            </w:r>
          </w:p>
        </w:tc>
        <w:tc>
          <w:tcPr>
            <w:tcW w:w="0" w:type="auto"/>
            <w:shd w:val="clear" w:color="000000" w:fill="FFFFFF"/>
            <w:noWrap/>
          </w:tcPr>
          <w:p w14:paraId="59B8A734"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106.7</w:t>
            </w:r>
          </w:p>
        </w:tc>
        <w:tc>
          <w:tcPr>
            <w:tcW w:w="0" w:type="auto"/>
            <w:shd w:val="clear" w:color="000000" w:fill="FFFFFF"/>
            <w:noWrap/>
          </w:tcPr>
          <w:p w14:paraId="1BF35F18"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101.3</w:t>
            </w:r>
          </w:p>
        </w:tc>
        <w:tc>
          <w:tcPr>
            <w:tcW w:w="0" w:type="auto"/>
            <w:shd w:val="clear" w:color="000000" w:fill="FFFFFF"/>
            <w:noWrap/>
            <w:vAlign w:val="center"/>
          </w:tcPr>
          <w:p w14:paraId="6293D018"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119</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2</w:t>
            </w:r>
          </w:p>
        </w:tc>
        <w:tc>
          <w:tcPr>
            <w:tcW w:w="0" w:type="auto"/>
            <w:shd w:val="clear" w:color="000000" w:fill="FFFFFF"/>
            <w:noWrap/>
            <w:vAlign w:val="center"/>
          </w:tcPr>
          <w:p w14:paraId="5BA30148"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111</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7</w:t>
            </w:r>
          </w:p>
        </w:tc>
      </w:tr>
      <w:tr w:rsidR="00906DD0" w:rsidRPr="00906DD0" w14:paraId="57ABA80B" w14:textId="77777777" w:rsidTr="00CE36E6">
        <w:trPr>
          <w:trHeight w:val="284"/>
        </w:trPr>
        <w:tc>
          <w:tcPr>
            <w:tcW w:w="1141" w:type="dxa"/>
            <w:shd w:val="clear" w:color="000000" w:fill="FFFFFF"/>
            <w:vAlign w:val="center"/>
            <w:hideMark/>
          </w:tcPr>
          <w:p w14:paraId="02B91A04" w14:textId="77777777" w:rsidR="0064668E" w:rsidRPr="00906DD0" w:rsidRDefault="0064668E"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6</w:t>
            </w:r>
          </w:p>
        </w:tc>
        <w:tc>
          <w:tcPr>
            <w:tcW w:w="0" w:type="auto"/>
            <w:shd w:val="clear" w:color="000000" w:fill="FFFFFF"/>
            <w:noWrap/>
            <w:hideMark/>
          </w:tcPr>
          <w:p w14:paraId="1227ACF3"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97.5</w:t>
            </w:r>
          </w:p>
        </w:tc>
        <w:tc>
          <w:tcPr>
            <w:tcW w:w="0" w:type="auto"/>
            <w:shd w:val="clear" w:color="000000" w:fill="FFFFFF"/>
            <w:noWrap/>
            <w:hideMark/>
          </w:tcPr>
          <w:p w14:paraId="1722A12D"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100.2</w:t>
            </w:r>
          </w:p>
        </w:tc>
        <w:tc>
          <w:tcPr>
            <w:tcW w:w="0" w:type="auto"/>
            <w:shd w:val="clear" w:color="000000" w:fill="FFFFFF"/>
            <w:noWrap/>
          </w:tcPr>
          <w:p w14:paraId="268DFCFD"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149.5</w:t>
            </w:r>
          </w:p>
        </w:tc>
        <w:tc>
          <w:tcPr>
            <w:tcW w:w="0" w:type="auto"/>
            <w:shd w:val="clear" w:color="000000" w:fill="FFFFFF"/>
            <w:noWrap/>
          </w:tcPr>
          <w:p w14:paraId="302F2DE2"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100.7</w:t>
            </w:r>
          </w:p>
        </w:tc>
        <w:tc>
          <w:tcPr>
            <w:tcW w:w="0" w:type="auto"/>
            <w:shd w:val="clear" w:color="000000" w:fill="FFFFFF"/>
            <w:noWrap/>
          </w:tcPr>
          <w:p w14:paraId="1D0004E1"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111.5</w:t>
            </w:r>
          </w:p>
        </w:tc>
        <w:tc>
          <w:tcPr>
            <w:tcW w:w="0" w:type="auto"/>
            <w:shd w:val="clear" w:color="000000" w:fill="FFFFFF"/>
            <w:noWrap/>
          </w:tcPr>
          <w:p w14:paraId="24C7F40C" w14:textId="77777777" w:rsidR="0064668E" w:rsidRPr="00906DD0" w:rsidRDefault="0064668E"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106.0</w:t>
            </w:r>
          </w:p>
        </w:tc>
        <w:tc>
          <w:tcPr>
            <w:tcW w:w="0" w:type="auto"/>
            <w:shd w:val="clear" w:color="000000" w:fill="FFFFFF"/>
            <w:noWrap/>
            <w:vAlign w:val="center"/>
          </w:tcPr>
          <w:p w14:paraId="25EA2EB4"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125</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7</w:t>
            </w:r>
          </w:p>
        </w:tc>
        <w:tc>
          <w:tcPr>
            <w:tcW w:w="0" w:type="auto"/>
            <w:shd w:val="clear" w:color="000000" w:fill="FFFFFF"/>
            <w:noWrap/>
            <w:vAlign w:val="center"/>
          </w:tcPr>
          <w:p w14:paraId="240E67AA" w14:textId="77777777" w:rsidR="0064668E" w:rsidRPr="00906DD0" w:rsidRDefault="0064668E" w:rsidP="00906DD0">
            <w:pPr>
              <w:jc w:val="right"/>
              <w:rPr>
                <w:rFonts w:ascii="Arial Narrow" w:hAnsi="Arial Narrow" w:cs="Arial"/>
                <w:color w:val="000000"/>
                <w:spacing w:val="0"/>
                <w:sz w:val="16"/>
                <w:szCs w:val="16"/>
              </w:rPr>
            </w:pPr>
            <w:r w:rsidRPr="00906DD0">
              <w:rPr>
                <w:rFonts w:ascii="Arial Narrow" w:hAnsi="Arial Narrow" w:cs="Arial"/>
                <w:color w:val="000000"/>
                <w:spacing w:val="0"/>
                <w:sz w:val="16"/>
                <w:szCs w:val="16"/>
              </w:rPr>
              <w:t>118</w:t>
            </w:r>
            <w:r w:rsidR="00A153DD" w:rsidRPr="00906DD0">
              <w:rPr>
                <w:rFonts w:ascii="Arial Narrow" w:hAnsi="Arial Narrow" w:cs="Arial"/>
                <w:color w:val="000000"/>
                <w:spacing w:val="0"/>
                <w:sz w:val="16"/>
                <w:szCs w:val="16"/>
              </w:rPr>
              <w:t>.</w:t>
            </w:r>
            <w:r w:rsidRPr="00906DD0">
              <w:rPr>
                <w:rFonts w:ascii="Arial Narrow" w:hAnsi="Arial Narrow" w:cs="Arial"/>
                <w:color w:val="000000"/>
                <w:spacing w:val="0"/>
                <w:sz w:val="16"/>
                <w:szCs w:val="16"/>
              </w:rPr>
              <w:t>5</w:t>
            </w:r>
          </w:p>
        </w:tc>
      </w:tr>
      <w:tr w:rsidR="00906DD0" w:rsidRPr="00906DD0" w14:paraId="446134BB" w14:textId="77777777" w:rsidTr="00CE36E6">
        <w:trPr>
          <w:trHeight w:val="284"/>
        </w:trPr>
        <w:tc>
          <w:tcPr>
            <w:tcW w:w="1141" w:type="dxa"/>
            <w:shd w:val="clear" w:color="000000" w:fill="FFFFFF"/>
            <w:vAlign w:val="center"/>
            <w:hideMark/>
          </w:tcPr>
          <w:p w14:paraId="6F5A8C2E" w14:textId="77777777" w:rsidR="002604EA" w:rsidRPr="00906DD0" w:rsidRDefault="002604EA"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7</w:t>
            </w:r>
          </w:p>
        </w:tc>
        <w:tc>
          <w:tcPr>
            <w:tcW w:w="0" w:type="auto"/>
            <w:shd w:val="clear" w:color="000000" w:fill="FFFFFF"/>
            <w:noWrap/>
            <w:hideMark/>
          </w:tcPr>
          <w:p w14:paraId="7FC0A6E9"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114.8</w:t>
            </w:r>
          </w:p>
        </w:tc>
        <w:tc>
          <w:tcPr>
            <w:tcW w:w="0" w:type="auto"/>
            <w:shd w:val="clear" w:color="000000" w:fill="FFFFFF"/>
            <w:noWrap/>
            <w:hideMark/>
          </w:tcPr>
          <w:p w14:paraId="1CD02F8F"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113.6</w:t>
            </w:r>
          </w:p>
        </w:tc>
        <w:tc>
          <w:tcPr>
            <w:tcW w:w="0" w:type="auto"/>
            <w:shd w:val="clear" w:color="000000" w:fill="FFFFFF"/>
            <w:noWrap/>
          </w:tcPr>
          <w:p w14:paraId="79BD3E9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158.9</w:t>
            </w:r>
          </w:p>
        </w:tc>
        <w:tc>
          <w:tcPr>
            <w:tcW w:w="0" w:type="auto"/>
            <w:shd w:val="clear" w:color="000000" w:fill="FFFFFF"/>
            <w:noWrap/>
          </w:tcPr>
          <w:p w14:paraId="6C17F9A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116.8</w:t>
            </w:r>
          </w:p>
        </w:tc>
        <w:tc>
          <w:tcPr>
            <w:tcW w:w="0" w:type="auto"/>
            <w:shd w:val="clear" w:color="000000" w:fill="FFFFFF"/>
            <w:noWrap/>
          </w:tcPr>
          <w:p w14:paraId="6ED270BC"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136.7</w:t>
            </w:r>
          </w:p>
        </w:tc>
        <w:tc>
          <w:tcPr>
            <w:tcW w:w="0" w:type="auto"/>
            <w:shd w:val="clear" w:color="000000" w:fill="FFFFFF"/>
            <w:noWrap/>
          </w:tcPr>
          <w:p w14:paraId="1A3BC520"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128.1</w:t>
            </w:r>
          </w:p>
        </w:tc>
        <w:tc>
          <w:tcPr>
            <w:tcW w:w="0" w:type="auto"/>
            <w:shd w:val="clear" w:color="000000" w:fill="FFFFFF"/>
            <w:noWrap/>
            <w:vAlign w:val="center"/>
          </w:tcPr>
          <w:p w14:paraId="0206149A" w14:textId="77777777" w:rsidR="002604EA" w:rsidRPr="00906DD0" w:rsidRDefault="002604EA" w:rsidP="00906DD0">
            <w:pPr>
              <w:jc w:val="right"/>
              <w:rPr>
                <w:rFonts w:ascii="Arial Narrow" w:hAnsi="Arial Narrow" w:cs="Arial"/>
                <w:color w:val="000000"/>
                <w:spacing w:val="0"/>
                <w:sz w:val="16"/>
                <w:szCs w:val="16"/>
              </w:rPr>
            </w:pPr>
          </w:p>
        </w:tc>
        <w:tc>
          <w:tcPr>
            <w:tcW w:w="0" w:type="auto"/>
            <w:shd w:val="clear" w:color="000000" w:fill="FFFFFF"/>
            <w:noWrap/>
            <w:vAlign w:val="center"/>
          </w:tcPr>
          <w:p w14:paraId="3E50FF5C" w14:textId="77777777" w:rsidR="002604EA" w:rsidRPr="00906DD0" w:rsidRDefault="002604EA" w:rsidP="00906DD0">
            <w:pPr>
              <w:ind w:left="103"/>
              <w:jc w:val="right"/>
              <w:rPr>
                <w:rFonts w:ascii="Arial Narrow" w:hAnsi="Arial Narrow" w:cs="Arial"/>
                <w:color w:val="000000"/>
                <w:spacing w:val="0"/>
                <w:sz w:val="16"/>
                <w:szCs w:val="16"/>
              </w:rPr>
            </w:pPr>
          </w:p>
        </w:tc>
      </w:tr>
      <w:tr w:rsidR="00906DD0" w:rsidRPr="00906DD0" w14:paraId="06A98FD6" w14:textId="77777777" w:rsidTr="00CE36E6">
        <w:trPr>
          <w:trHeight w:val="284"/>
        </w:trPr>
        <w:tc>
          <w:tcPr>
            <w:tcW w:w="1141" w:type="dxa"/>
            <w:shd w:val="clear" w:color="000000" w:fill="FFFFFF"/>
            <w:vAlign w:val="center"/>
            <w:hideMark/>
          </w:tcPr>
          <w:p w14:paraId="6030BF46" w14:textId="77777777" w:rsidR="002604EA" w:rsidRPr="00906DD0" w:rsidRDefault="002604EA"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8</w:t>
            </w:r>
          </w:p>
        </w:tc>
        <w:tc>
          <w:tcPr>
            <w:tcW w:w="0" w:type="auto"/>
            <w:shd w:val="clear" w:color="000000" w:fill="FFFFFF"/>
            <w:noWrap/>
            <w:hideMark/>
          </w:tcPr>
          <w:p w14:paraId="4926DC5C"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136.4</w:t>
            </w:r>
          </w:p>
        </w:tc>
        <w:tc>
          <w:tcPr>
            <w:tcW w:w="0" w:type="auto"/>
            <w:shd w:val="clear" w:color="000000" w:fill="FFFFFF"/>
            <w:noWrap/>
            <w:hideMark/>
          </w:tcPr>
          <w:p w14:paraId="72E09FE4"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134.1</w:t>
            </w:r>
          </w:p>
        </w:tc>
        <w:tc>
          <w:tcPr>
            <w:tcW w:w="0" w:type="auto"/>
            <w:shd w:val="clear" w:color="000000" w:fill="FFFFFF"/>
            <w:noWrap/>
          </w:tcPr>
          <w:p w14:paraId="2E62F24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171.9</w:t>
            </w:r>
          </w:p>
        </w:tc>
        <w:tc>
          <w:tcPr>
            <w:tcW w:w="0" w:type="auto"/>
            <w:shd w:val="clear" w:color="000000" w:fill="FFFFFF"/>
            <w:noWrap/>
          </w:tcPr>
          <w:p w14:paraId="24F65335"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130.3</w:t>
            </w:r>
          </w:p>
        </w:tc>
        <w:tc>
          <w:tcPr>
            <w:tcW w:w="0" w:type="auto"/>
            <w:shd w:val="clear" w:color="000000" w:fill="FFFFFF"/>
            <w:noWrap/>
          </w:tcPr>
          <w:p w14:paraId="18E2ECE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166.7</w:t>
            </w:r>
          </w:p>
        </w:tc>
        <w:tc>
          <w:tcPr>
            <w:tcW w:w="0" w:type="auto"/>
            <w:shd w:val="clear" w:color="000000" w:fill="FFFFFF"/>
            <w:noWrap/>
          </w:tcPr>
          <w:p w14:paraId="54A7FD50"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147.3</w:t>
            </w:r>
          </w:p>
        </w:tc>
        <w:tc>
          <w:tcPr>
            <w:tcW w:w="0" w:type="auto"/>
            <w:shd w:val="clear" w:color="000000" w:fill="FFFFFF"/>
            <w:noWrap/>
            <w:vAlign w:val="center"/>
          </w:tcPr>
          <w:p w14:paraId="4BADCF43" w14:textId="77777777" w:rsidR="002604EA" w:rsidRPr="00906DD0" w:rsidRDefault="002604EA" w:rsidP="00906DD0">
            <w:pPr>
              <w:jc w:val="right"/>
              <w:rPr>
                <w:rFonts w:ascii="Arial Narrow" w:hAnsi="Arial Narrow" w:cs="Arial"/>
                <w:color w:val="000000"/>
                <w:spacing w:val="0"/>
                <w:sz w:val="16"/>
                <w:szCs w:val="16"/>
              </w:rPr>
            </w:pPr>
          </w:p>
        </w:tc>
        <w:tc>
          <w:tcPr>
            <w:tcW w:w="0" w:type="auto"/>
            <w:shd w:val="clear" w:color="000000" w:fill="FFFFFF"/>
            <w:noWrap/>
            <w:vAlign w:val="center"/>
          </w:tcPr>
          <w:p w14:paraId="65F51813" w14:textId="77777777" w:rsidR="002604EA" w:rsidRPr="00906DD0" w:rsidRDefault="002604EA" w:rsidP="00906DD0">
            <w:pPr>
              <w:ind w:left="103"/>
              <w:jc w:val="right"/>
              <w:rPr>
                <w:rFonts w:ascii="Arial Narrow" w:hAnsi="Arial Narrow" w:cs="Arial"/>
                <w:color w:val="000000"/>
                <w:spacing w:val="0"/>
                <w:sz w:val="16"/>
                <w:szCs w:val="16"/>
              </w:rPr>
            </w:pPr>
          </w:p>
        </w:tc>
      </w:tr>
      <w:tr w:rsidR="00906DD0" w:rsidRPr="00906DD0" w14:paraId="678B86CE" w14:textId="77777777" w:rsidTr="00CE36E6">
        <w:trPr>
          <w:trHeight w:val="284"/>
        </w:trPr>
        <w:tc>
          <w:tcPr>
            <w:tcW w:w="1141" w:type="dxa"/>
            <w:shd w:val="clear" w:color="000000" w:fill="FFFFFF"/>
            <w:vAlign w:val="center"/>
            <w:hideMark/>
          </w:tcPr>
          <w:p w14:paraId="31FFACAE" w14:textId="77777777" w:rsidR="002604EA" w:rsidRPr="00906DD0" w:rsidRDefault="002604EA"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9</w:t>
            </w:r>
          </w:p>
        </w:tc>
        <w:tc>
          <w:tcPr>
            <w:tcW w:w="0" w:type="auto"/>
            <w:shd w:val="clear" w:color="000000" w:fill="FFFFFF"/>
            <w:noWrap/>
            <w:hideMark/>
          </w:tcPr>
          <w:p w14:paraId="389061EF"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104.6</w:t>
            </w:r>
          </w:p>
        </w:tc>
        <w:tc>
          <w:tcPr>
            <w:tcW w:w="0" w:type="auto"/>
            <w:shd w:val="clear" w:color="000000" w:fill="FFFFFF"/>
            <w:noWrap/>
            <w:hideMark/>
          </w:tcPr>
          <w:p w14:paraId="1609D5AF"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102.7</w:t>
            </w:r>
          </w:p>
        </w:tc>
        <w:tc>
          <w:tcPr>
            <w:tcW w:w="0" w:type="auto"/>
            <w:shd w:val="clear" w:color="000000" w:fill="FFFFFF"/>
            <w:noWrap/>
          </w:tcPr>
          <w:p w14:paraId="12575579"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149.4</w:t>
            </w:r>
          </w:p>
        </w:tc>
        <w:tc>
          <w:tcPr>
            <w:tcW w:w="0" w:type="auto"/>
            <w:shd w:val="clear" w:color="000000" w:fill="FFFFFF"/>
            <w:noWrap/>
          </w:tcPr>
          <w:p w14:paraId="3B76AD98"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116.7</w:t>
            </w:r>
          </w:p>
        </w:tc>
        <w:tc>
          <w:tcPr>
            <w:tcW w:w="0" w:type="auto"/>
            <w:shd w:val="clear" w:color="000000" w:fill="FFFFFF"/>
            <w:noWrap/>
          </w:tcPr>
          <w:p w14:paraId="52EE6141"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130.7</w:t>
            </w:r>
          </w:p>
        </w:tc>
        <w:tc>
          <w:tcPr>
            <w:tcW w:w="0" w:type="auto"/>
            <w:shd w:val="clear" w:color="000000" w:fill="FFFFFF"/>
            <w:noWrap/>
          </w:tcPr>
          <w:p w14:paraId="1E15EDE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112.5</w:t>
            </w:r>
          </w:p>
        </w:tc>
        <w:tc>
          <w:tcPr>
            <w:tcW w:w="0" w:type="auto"/>
            <w:shd w:val="clear" w:color="000000" w:fill="FFFFFF"/>
            <w:noWrap/>
            <w:vAlign w:val="center"/>
          </w:tcPr>
          <w:p w14:paraId="4A558BD7" w14:textId="77777777" w:rsidR="002604EA" w:rsidRPr="00906DD0" w:rsidRDefault="002604EA" w:rsidP="00906DD0">
            <w:pPr>
              <w:jc w:val="right"/>
              <w:rPr>
                <w:rFonts w:ascii="Arial Narrow" w:hAnsi="Arial Narrow" w:cs="Arial"/>
                <w:color w:val="000000"/>
                <w:spacing w:val="0"/>
                <w:sz w:val="16"/>
                <w:szCs w:val="16"/>
              </w:rPr>
            </w:pPr>
          </w:p>
        </w:tc>
        <w:tc>
          <w:tcPr>
            <w:tcW w:w="0" w:type="auto"/>
            <w:shd w:val="clear" w:color="000000" w:fill="FFFFFF"/>
            <w:noWrap/>
            <w:vAlign w:val="center"/>
          </w:tcPr>
          <w:p w14:paraId="4EE2A2C7" w14:textId="77777777" w:rsidR="002604EA" w:rsidRPr="00906DD0" w:rsidRDefault="002604EA" w:rsidP="00906DD0">
            <w:pPr>
              <w:ind w:left="103"/>
              <w:jc w:val="right"/>
              <w:rPr>
                <w:rFonts w:ascii="Arial Narrow" w:hAnsi="Arial Narrow" w:cs="Arial"/>
                <w:color w:val="000000"/>
                <w:spacing w:val="0"/>
                <w:sz w:val="16"/>
                <w:szCs w:val="16"/>
              </w:rPr>
            </w:pPr>
          </w:p>
        </w:tc>
      </w:tr>
      <w:tr w:rsidR="00906DD0" w:rsidRPr="00906DD0" w14:paraId="2E4D0FC2" w14:textId="77777777" w:rsidTr="00CE36E6">
        <w:trPr>
          <w:trHeight w:val="284"/>
        </w:trPr>
        <w:tc>
          <w:tcPr>
            <w:tcW w:w="1141" w:type="dxa"/>
            <w:shd w:val="clear" w:color="000000" w:fill="FFFFFF"/>
            <w:vAlign w:val="center"/>
            <w:hideMark/>
          </w:tcPr>
          <w:p w14:paraId="6EBF76DB" w14:textId="77777777" w:rsidR="002604EA" w:rsidRPr="00906DD0" w:rsidRDefault="002604EA"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10</w:t>
            </w:r>
          </w:p>
        </w:tc>
        <w:tc>
          <w:tcPr>
            <w:tcW w:w="0" w:type="auto"/>
            <w:shd w:val="clear" w:color="000000" w:fill="FFFFFF"/>
            <w:noWrap/>
            <w:hideMark/>
          </w:tcPr>
          <w:p w14:paraId="423FB096"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109.1</w:t>
            </w:r>
          </w:p>
        </w:tc>
        <w:tc>
          <w:tcPr>
            <w:tcW w:w="0" w:type="auto"/>
            <w:shd w:val="clear" w:color="000000" w:fill="FFFFFF"/>
            <w:noWrap/>
            <w:hideMark/>
          </w:tcPr>
          <w:p w14:paraId="20663C3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103.0</w:t>
            </w:r>
          </w:p>
        </w:tc>
        <w:tc>
          <w:tcPr>
            <w:tcW w:w="0" w:type="auto"/>
            <w:shd w:val="clear" w:color="000000" w:fill="FFFFFF"/>
            <w:noWrap/>
          </w:tcPr>
          <w:p w14:paraId="0D21D085"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133.5</w:t>
            </w:r>
          </w:p>
        </w:tc>
        <w:tc>
          <w:tcPr>
            <w:tcW w:w="0" w:type="auto"/>
            <w:shd w:val="clear" w:color="000000" w:fill="FFFFFF"/>
            <w:noWrap/>
          </w:tcPr>
          <w:p w14:paraId="6549486B"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101.1</w:t>
            </w:r>
          </w:p>
        </w:tc>
        <w:tc>
          <w:tcPr>
            <w:tcW w:w="0" w:type="auto"/>
            <w:shd w:val="clear" w:color="000000" w:fill="FFFFFF"/>
            <w:noWrap/>
          </w:tcPr>
          <w:p w14:paraId="476C235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120.8</w:t>
            </w:r>
          </w:p>
        </w:tc>
        <w:tc>
          <w:tcPr>
            <w:tcW w:w="0" w:type="auto"/>
            <w:shd w:val="clear" w:color="000000" w:fill="FFFFFF"/>
            <w:noWrap/>
          </w:tcPr>
          <w:p w14:paraId="1A956F3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103.4</w:t>
            </w:r>
          </w:p>
        </w:tc>
        <w:tc>
          <w:tcPr>
            <w:tcW w:w="0" w:type="auto"/>
            <w:shd w:val="clear" w:color="000000" w:fill="FFFFFF"/>
            <w:noWrap/>
            <w:vAlign w:val="center"/>
          </w:tcPr>
          <w:p w14:paraId="71D969CC" w14:textId="77777777" w:rsidR="002604EA" w:rsidRPr="00906DD0" w:rsidRDefault="002604EA" w:rsidP="00906DD0">
            <w:pPr>
              <w:autoSpaceDE w:val="0"/>
              <w:autoSpaceDN w:val="0"/>
              <w:adjustRightInd w:val="0"/>
              <w:jc w:val="right"/>
              <w:rPr>
                <w:rFonts w:ascii="Arial Narrow" w:hAnsi="Arial Narrow" w:cs="Arial"/>
                <w:color w:val="000000"/>
                <w:spacing w:val="0"/>
                <w:sz w:val="16"/>
                <w:szCs w:val="16"/>
              </w:rPr>
            </w:pPr>
          </w:p>
        </w:tc>
        <w:tc>
          <w:tcPr>
            <w:tcW w:w="0" w:type="auto"/>
            <w:shd w:val="clear" w:color="000000" w:fill="FFFFFF"/>
            <w:noWrap/>
            <w:vAlign w:val="center"/>
          </w:tcPr>
          <w:p w14:paraId="3CBCB3DE" w14:textId="77777777" w:rsidR="002604EA" w:rsidRPr="00906DD0" w:rsidRDefault="002604EA" w:rsidP="00906DD0">
            <w:pPr>
              <w:autoSpaceDE w:val="0"/>
              <w:autoSpaceDN w:val="0"/>
              <w:adjustRightInd w:val="0"/>
              <w:ind w:left="103"/>
              <w:jc w:val="right"/>
              <w:rPr>
                <w:rFonts w:ascii="Arial Narrow" w:hAnsi="Arial Narrow" w:cs="Arial"/>
                <w:color w:val="000000"/>
                <w:spacing w:val="0"/>
                <w:sz w:val="16"/>
                <w:szCs w:val="16"/>
              </w:rPr>
            </w:pPr>
          </w:p>
        </w:tc>
      </w:tr>
      <w:tr w:rsidR="00906DD0" w:rsidRPr="00906DD0" w14:paraId="49EA7E53" w14:textId="77777777" w:rsidTr="00CE36E6">
        <w:trPr>
          <w:trHeight w:val="284"/>
        </w:trPr>
        <w:tc>
          <w:tcPr>
            <w:tcW w:w="1141" w:type="dxa"/>
            <w:shd w:val="clear" w:color="000000" w:fill="FFFFFF"/>
            <w:vAlign w:val="center"/>
            <w:hideMark/>
          </w:tcPr>
          <w:p w14:paraId="5D626396" w14:textId="77777777" w:rsidR="002604EA" w:rsidRPr="00906DD0" w:rsidRDefault="002604EA"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11</w:t>
            </w:r>
          </w:p>
        </w:tc>
        <w:tc>
          <w:tcPr>
            <w:tcW w:w="0" w:type="auto"/>
            <w:shd w:val="clear" w:color="000000" w:fill="FFFFFF"/>
            <w:noWrap/>
            <w:hideMark/>
          </w:tcPr>
          <w:p w14:paraId="229350BA"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101.2</w:t>
            </w:r>
          </w:p>
        </w:tc>
        <w:tc>
          <w:tcPr>
            <w:tcW w:w="0" w:type="auto"/>
            <w:shd w:val="clear" w:color="000000" w:fill="FFFFFF"/>
            <w:noWrap/>
            <w:hideMark/>
          </w:tcPr>
          <w:p w14:paraId="088CC43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93.0</w:t>
            </w:r>
          </w:p>
        </w:tc>
        <w:tc>
          <w:tcPr>
            <w:tcW w:w="0" w:type="auto"/>
            <w:shd w:val="clear" w:color="000000" w:fill="FFFFFF"/>
            <w:noWrap/>
          </w:tcPr>
          <w:p w14:paraId="1B513BBE"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125.5</w:t>
            </w:r>
          </w:p>
        </w:tc>
        <w:tc>
          <w:tcPr>
            <w:tcW w:w="0" w:type="auto"/>
            <w:shd w:val="clear" w:color="000000" w:fill="FFFFFF"/>
            <w:noWrap/>
          </w:tcPr>
          <w:p w14:paraId="166DAADD"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101.6</w:t>
            </w:r>
          </w:p>
        </w:tc>
        <w:tc>
          <w:tcPr>
            <w:tcW w:w="0" w:type="auto"/>
            <w:shd w:val="clear" w:color="000000" w:fill="FFFFFF"/>
            <w:noWrap/>
          </w:tcPr>
          <w:p w14:paraId="084094AA"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115.0</w:t>
            </w:r>
          </w:p>
        </w:tc>
        <w:tc>
          <w:tcPr>
            <w:tcW w:w="0" w:type="auto"/>
            <w:shd w:val="clear" w:color="000000" w:fill="FFFFFF"/>
            <w:noWrap/>
          </w:tcPr>
          <w:p w14:paraId="3093EFF6"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98.3</w:t>
            </w:r>
          </w:p>
        </w:tc>
        <w:tc>
          <w:tcPr>
            <w:tcW w:w="0" w:type="auto"/>
            <w:shd w:val="clear" w:color="000000" w:fill="FFFFFF"/>
            <w:noWrap/>
            <w:vAlign w:val="center"/>
          </w:tcPr>
          <w:p w14:paraId="36697EAB" w14:textId="77777777" w:rsidR="002604EA" w:rsidRPr="00906DD0" w:rsidRDefault="002604EA" w:rsidP="00906DD0">
            <w:pPr>
              <w:autoSpaceDE w:val="0"/>
              <w:autoSpaceDN w:val="0"/>
              <w:adjustRightInd w:val="0"/>
              <w:jc w:val="right"/>
              <w:rPr>
                <w:rFonts w:ascii="Arial Narrow" w:hAnsi="Arial Narrow" w:cs="Arial"/>
                <w:color w:val="000000"/>
                <w:spacing w:val="0"/>
                <w:sz w:val="16"/>
                <w:szCs w:val="16"/>
              </w:rPr>
            </w:pPr>
          </w:p>
        </w:tc>
        <w:tc>
          <w:tcPr>
            <w:tcW w:w="0" w:type="auto"/>
            <w:shd w:val="clear" w:color="000000" w:fill="FFFFFF"/>
            <w:noWrap/>
            <w:vAlign w:val="center"/>
          </w:tcPr>
          <w:p w14:paraId="082D38D8" w14:textId="77777777" w:rsidR="002604EA" w:rsidRPr="00906DD0" w:rsidRDefault="002604EA" w:rsidP="00906DD0">
            <w:pPr>
              <w:autoSpaceDE w:val="0"/>
              <w:autoSpaceDN w:val="0"/>
              <w:adjustRightInd w:val="0"/>
              <w:ind w:left="103"/>
              <w:jc w:val="right"/>
              <w:rPr>
                <w:rFonts w:ascii="Arial Narrow" w:hAnsi="Arial Narrow" w:cs="Arial"/>
                <w:color w:val="000000"/>
                <w:spacing w:val="0"/>
                <w:sz w:val="16"/>
                <w:szCs w:val="16"/>
              </w:rPr>
            </w:pPr>
          </w:p>
        </w:tc>
      </w:tr>
      <w:tr w:rsidR="00906DD0" w:rsidRPr="00906DD0" w14:paraId="400A7F10" w14:textId="77777777" w:rsidTr="00CE36E6">
        <w:trPr>
          <w:trHeight w:val="284"/>
        </w:trPr>
        <w:tc>
          <w:tcPr>
            <w:tcW w:w="1141" w:type="dxa"/>
            <w:shd w:val="clear" w:color="000000" w:fill="FFFFFF"/>
            <w:vAlign w:val="center"/>
            <w:hideMark/>
          </w:tcPr>
          <w:p w14:paraId="43FD1769" w14:textId="77777777" w:rsidR="002604EA" w:rsidRPr="00906DD0" w:rsidRDefault="002604EA" w:rsidP="00906DD0">
            <w:pPr>
              <w:rPr>
                <w:rFonts w:ascii="Arial Narrow" w:hAnsi="Arial Narrow" w:cs="Calibri"/>
                <w:color w:val="000000"/>
                <w:spacing w:val="0"/>
                <w:sz w:val="16"/>
                <w:szCs w:val="16"/>
              </w:rPr>
            </w:pPr>
            <w:r w:rsidRPr="00906DD0">
              <w:rPr>
                <w:rFonts w:ascii="Arial Narrow" w:hAnsi="Arial Narrow" w:cs="Calibri"/>
                <w:color w:val="000000"/>
                <w:spacing w:val="0"/>
                <w:sz w:val="16"/>
                <w:szCs w:val="16"/>
              </w:rPr>
              <w:t>12</w:t>
            </w:r>
          </w:p>
        </w:tc>
        <w:tc>
          <w:tcPr>
            <w:tcW w:w="0" w:type="auto"/>
            <w:shd w:val="clear" w:color="000000" w:fill="FFFFFF"/>
            <w:noWrap/>
            <w:hideMark/>
          </w:tcPr>
          <w:p w14:paraId="5F77E824"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114.6</w:t>
            </w:r>
          </w:p>
        </w:tc>
        <w:tc>
          <w:tcPr>
            <w:tcW w:w="0" w:type="auto"/>
            <w:shd w:val="clear" w:color="000000" w:fill="FFFFFF"/>
            <w:noWrap/>
            <w:hideMark/>
          </w:tcPr>
          <w:p w14:paraId="1611947B"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104.1</w:t>
            </w:r>
          </w:p>
        </w:tc>
        <w:tc>
          <w:tcPr>
            <w:tcW w:w="0" w:type="auto"/>
            <w:shd w:val="clear" w:color="000000" w:fill="FFFFFF"/>
            <w:noWrap/>
          </w:tcPr>
          <w:p w14:paraId="3B79FFA3"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129.2</w:t>
            </w:r>
          </w:p>
        </w:tc>
        <w:tc>
          <w:tcPr>
            <w:tcW w:w="0" w:type="auto"/>
            <w:shd w:val="clear" w:color="000000" w:fill="FFFFFF"/>
            <w:noWrap/>
          </w:tcPr>
          <w:p w14:paraId="5250D898"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111.6</w:t>
            </w:r>
          </w:p>
        </w:tc>
        <w:tc>
          <w:tcPr>
            <w:tcW w:w="0" w:type="auto"/>
            <w:shd w:val="clear" w:color="000000" w:fill="FFFFFF"/>
            <w:noWrap/>
          </w:tcPr>
          <w:p w14:paraId="02922AE5"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140.6</w:t>
            </w:r>
          </w:p>
        </w:tc>
        <w:tc>
          <w:tcPr>
            <w:tcW w:w="0" w:type="auto"/>
            <w:shd w:val="clear" w:color="000000" w:fill="FFFFFF"/>
            <w:noWrap/>
          </w:tcPr>
          <w:p w14:paraId="3C844758" w14:textId="77777777" w:rsidR="002604EA" w:rsidRPr="00906DD0" w:rsidRDefault="002604EA" w:rsidP="00906DD0">
            <w:pPr>
              <w:jc w:val="right"/>
              <w:rPr>
                <w:rFonts w:ascii="Arial Narrow" w:hAnsi="Arial Narrow" w:cs="Arial"/>
                <w:color w:val="000000"/>
                <w:spacing w:val="0"/>
                <w:sz w:val="16"/>
                <w:szCs w:val="16"/>
                <w:lang w:val="sq-AL"/>
              </w:rPr>
            </w:pPr>
            <w:r w:rsidRPr="00906DD0">
              <w:rPr>
                <w:rFonts w:ascii="Arial Narrow" w:hAnsi="Arial Narrow" w:cs="Arial"/>
                <w:color w:val="000000"/>
                <w:spacing w:val="0"/>
                <w:sz w:val="16"/>
                <w:szCs w:val="16"/>
                <w:lang w:val="sq-AL"/>
              </w:rPr>
              <w:t>125.4</w:t>
            </w:r>
          </w:p>
        </w:tc>
        <w:tc>
          <w:tcPr>
            <w:tcW w:w="0" w:type="auto"/>
            <w:shd w:val="clear" w:color="000000" w:fill="FFFFFF"/>
            <w:noWrap/>
            <w:vAlign w:val="center"/>
          </w:tcPr>
          <w:p w14:paraId="39B1BEA2" w14:textId="77777777" w:rsidR="002604EA" w:rsidRPr="00906DD0" w:rsidRDefault="002604EA" w:rsidP="00906DD0">
            <w:pPr>
              <w:autoSpaceDE w:val="0"/>
              <w:autoSpaceDN w:val="0"/>
              <w:adjustRightInd w:val="0"/>
              <w:jc w:val="right"/>
              <w:rPr>
                <w:rFonts w:ascii="Arial Narrow" w:hAnsi="Arial Narrow" w:cs="Arial"/>
                <w:color w:val="000000"/>
                <w:spacing w:val="0"/>
                <w:sz w:val="16"/>
                <w:szCs w:val="16"/>
              </w:rPr>
            </w:pPr>
          </w:p>
        </w:tc>
        <w:tc>
          <w:tcPr>
            <w:tcW w:w="0" w:type="auto"/>
            <w:shd w:val="clear" w:color="000000" w:fill="FFFFFF"/>
            <w:noWrap/>
            <w:vAlign w:val="center"/>
          </w:tcPr>
          <w:p w14:paraId="72EB1827" w14:textId="77777777" w:rsidR="002604EA" w:rsidRPr="00906DD0" w:rsidRDefault="002604EA" w:rsidP="00906DD0">
            <w:pPr>
              <w:autoSpaceDE w:val="0"/>
              <w:autoSpaceDN w:val="0"/>
              <w:adjustRightInd w:val="0"/>
              <w:ind w:left="103"/>
              <w:jc w:val="right"/>
              <w:rPr>
                <w:rFonts w:ascii="Arial Narrow" w:hAnsi="Arial Narrow" w:cs="Arial"/>
                <w:color w:val="000000"/>
                <w:spacing w:val="0"/>
                <w:sz w:val="16"/>
                <w:szCs w:val="16"/>
              </w:rPr>
            </w:pPr>
          </w:p>
        </w:tc>
      </w:tr>
    </w:tbl>
    <w:p w14:paraId="6DB95C0E" w14:textId="77777777" w:rsidR="00906DD0" w:rsidRDefault="00906DD0" w:rsidP="00F73ED7">
      <w:pPr>
        <w:autoSpaceDE w:val="0"/>
        <w:autoSpaceDN w:val="0"/>
        <w:adjustRightInd w:val="0"/>
        <w:jc w:val="center"/>
        <w:rPr>
          <w:rFonts w:ascii="Arial Black" w:hAnsi="Arial Black"/>
          <w:color w:val="7F7F7F"/>
          <w:spacing w:val="-20"/>
          <w:kern w:val="28"/>
          <w:sz w:val="56"/>
          <w:szCs w:val="56"/>
        </w:rPr>
      </w:pPr>
    </w:p>
    <w:p w14:paraId="7B0D7DB8" w14:textId="77777777" w:rsidR="0058517F" w:rsidRDefault="004852A6" w:rsidP="00F73ED7">
      <w:pPr>
        <w:autoSpaceDE w:val="0"/>
        <w:autoSpaceDN w:val="0"/>
        <w:adjustRightInd w:val="0"/>
        <w:jc w:val="center"/>
        <w:rPr>
          <w:rFonts w:ascii="Arial Black" w:hAnsi="Arial Black"/>
          <w:color w:val="7F7F7F"/>
          <w:spacing w:val="-20"/>
          <w:kern w:val="28"/>
          <w:sz w:val="56"/>
          <w:szCs w:val="56"/>
        </w:rPr>
      </w:pPr>
      <w:r w:rsidRPr="000E079E">
        <w:rPr>
          <w:rFonts w:ascii="Arial Black" w:hAnsi="Arial Black"/>
          <w:color w:val="7F7F7F"/>
          <w:spacing w:val="-20"/>
          <w:kern w:val="28"/>
          <w:sz w:val="56"/>
          <w:szCs w:val="56"/>
        </w:rPr>
        <w:lastRenderedPageBreak/>
        <w:t>Methodolog</w:t>
      </w:r>
      <w:r w:rsidR="00906DD0">
        <w:rPr>
          <w:rFonts w:ascii="Arial Black" w:hAnsi="Arial Black"/>
          <w:color w:val="7F7F7F"/>
          <w:spacing w:val="-20"/>
          <w:kern w:val="28"/>
          <w:sz w:val="56"/>
          <w:szCs w:val="56"/>
        </w:rPr>
        <w:t>y</w:t>
      </w:r>
    </w:p>
    <w:p w14:paraId="4F9CE6C4" w14:textId="77777777" w:rsidR="0058517F" w:rsidRDefault="0058517F" w:rsidP="00D653A8">
      <w:pPr>
        <w:rPr>
          <w:b/>
        </w:rPr>
      </w:pPr>
    </w:p>
    <w:p w14:paraId="514DCED5" w14:textId="77777777" w:rsidR="00847196" w:rsidRPr="007D73E4" w:rsidRDefault="00847196" w:rsidP="00D653A8">
      <w:pPr>
        <w:rPr>
          <w:b/>
        </w:rPr>
      </w:pPr>
      <w:r w:rsidRPr="007D73E4">
        <w:rPr>
          <w:b/>
        </w:rPr>
        <w:t>Information</w:t>
      </w:r>
    </w:p>
    <w:p w14:paraId="3104B538" w14:textId="77777777" w:rsidR="004467CA" w:rsidRDefault="004467CA" w:rsidP="004467CA"/>
    <w:p w14:paraId="1CA8F824" w14:textId="77777777" w:rsidR="004467CA" w:rsidRDefault="004467CA" w:rsidP="00D653A8">
      <w:pPr>
        <w:autoSpaceDE w:val="0"/>
        <w:autoSpaceDN w:val="0"/>
        <w:adjustRightInd w:val="0"/>
        <w:spacing w:after="120" w:line="360" w:lineRule="auto"/>
        <w:jc w:val="both"/>
      </w:pPr>
      <w:r w:rsidRPr="004467CA">
        <w:t>In the wake of its efforts to standardizing and approaching the retail trade statistics to the standards of EU statistics</w:t>
      </w:r>
      <w:r w:rsidR="00A153DD">
        <w:t>.</w:t>
      </w:r>
      <w:r w:rsidRPr="004467CA">
        <w:t xml:space="preserve"> the publication of the Turnover Index Volume of Retail Trade activity has passed through some methodological changes</w:t>
      </w:r>
      <w:r w:rsidR="00A153DD">
        <w:t>.</w:t>
      </w:r>
      <w:r w:rsidRPr="004467CA">
        <w:t xml:space="preserve"> such as:</w:t>
      </w:r>
    </w:p>
    <w:p w14:paraId="19444BE8" w14:textId="77777777" w:rsidR="00847196" w:rsidRDefault="00847196" w:rsidP="004852A6">
      <w:pPr>
        <w:pStyle w:val="ListParagraph"/>
        <w:numPr>
          <w:ilvl w:val="0"/>
          <w:numId w:val="28"/>
        </w:numPr>
      </w:pPr>
      <w:r>
        <w:t>Indices on Retail trade and Sale and Repair of Motor</w:t>
      </w:r>
      <w:r w:rsidR="006978FA">
        <w:t xml:space="preserve"> vehicles </w:t>
      </w:r>
      <w:r w:rsidR="00693DE4">
        <w:t>are</w:t>
      </w:r>
      <w:r>
        <w:t xml:space="preserve"> calculated with base year 20</w:t>
      </w:r>
      <w:r w:rsidR="002604EA">
        <w:t>21</w:t>
      </w:r>
      <w:r>
        <w:t xml:space="preserve">=100. </w:t>
      </w:r>
    </w:p>
    <w:p w14:paraId="6C20BA0D" w14:textId="77777777" w:rsidR="00847196" w:rsidRDefault="00847196" w:rsidP="00847196">
      <w:pPr>
        <w:pStyle w:val="ListParagraph"/>
        <w:numPr>
          <w:ilvl w:val="0"/>
          <w:numId w:val="28"/>
        </w:numPr>
      </w:pPr>
      <w:r>
        <w:t>Weights are calculated based on Retail trade and Sale and Repair of Motor Vehic</w:t>
      </w:r>
      <w:r w:rsidR="006978FA">
        <w:t>les survey in 20</w:t>
      </w:r>
      <w:r w:rsidR="002604EA">
        <w:t>2</w:t>
      </w:r>
      <w:r w:rsidR="008B7B19">
        <w:t>3</w:t>
      </w:r>
      <w:r w:rsidR="00A153DD">
        <w:t>.</w:t>
      </w:r>
      <w:r>
        <w:t xml:space="preserve"> realized from INSTAT. The turnover is estimated in products level. </w:t>
      </w:r>
    </w:p>
    <w:p w14:paraId="3E8E7C75" w14:textId="77777777" w:rsidR="00847196" w:rsidRDefault="00847196" w:rsidP="00847196">
      <w:pPr>
        <w:pStyle w:val="ListParagraph"/>
        <w:numPr>
          <w:ilvl w:val="0"/>
          <w:numId w:val="28"/>
        </w:numPr>
      </w:pPr>
      <w:r>
        <w:t>The codification used is CPA (Classification of Products by Activity). The main groups are in accordance with main groups used in Consumer Price Index.</w:t>
      </w:r>
    </w:p>
    <w:p w14:paraId="7B497888" w14:textId="77777777" w:rsidR="00847196" w:rsidRDefault="00847196" w:rsidP="00847196"/>
    <w:p w14:paraId="4CA1E60D" w14:textId="77777777" w:rsidR="004852A6" w:rsidRPr="007D73E4" w:rsidRDefault="00847196" w:rsidP="00847196">
      <w:pPr>
        <w:rPr>
          <w:b/>
        </w:rPr>
      </w:pPr>
      <w:r w:rsidRPr="007D73E4">
        <w:rPr>
          <w:b/>
        </w:rPr>
        <w:t>I</w:t>
      </w:r>
      <w:r w:rsidR="004852A6" w:rsidRPr="007D73E4">
        <w:rPr>
          <w:b/>
        </w:rPr>
        <w:t xml:space="preserve">nformation on the observation </w:t>
      </w:r>
    </w:p>
    <w:p w14:paraId="7A03693F" w14:textId="77777777" w:rsidR="004852A6" w:rsidRPr="000E079E" w:rsidRDefault="004852A6" w:rsidP="004852A6">
      <w:pPr>
        <w:jc w:val="both"/>
      </w:pPr>
    </w:p>
    <w:p w14:paraId="6FE97EA2" w14:textId="77777777" w:rsidR="004852A6" w:rsidRDefault="004852A6" w:rsidP="004852A6">
      <w:pPr>
        <w:jc w:val="both"/>
      </w:pPr>
      <w:r w:rsidRPr="000E079E">
        <w:rPr>
          <w:b/>
          <w:bCs/>
        </w:rPr>
        <w:t>Purpose</w:t>
      </w:r>
      <w:r w:rsidRPr="000E079E">
        <w:t xml:space="preserve"> – The quarterly statistical Retail Trade data collected by the </w:t>
      </w:r>
      <w:r w:rsidR="00CD6E99" w:rsidRPr="000E079E">
        <w:t>comitial</w:t>
      </w:r>
      <w:r w:rsidRPr="000E079E">
        <w:t xml:space="preserve"> enterprises show the most recent performance and developments of the economic indicators in the retail trade store units</w:t>
      </w:r>
      <w:r w:rsidR="00A153DD">
        <w:t>.</w:t>
      </w:r>
      <w:r w:rsidRPr="000E079E">
        <w:t xml:space="preserve"> as well as the consume scale.</w:t>
      </w:r>
    </w:p>
    <w:p w14:paraId="6BAC0AA7" w14:textId="77777777" w:rsidR="0032690F" w:rsidRDefault="0032690F" w:rsidP="004852A6">
      <w:pPr>
        <w:jc w:val="both"/>
      </w:pPr>
    </w:p>
    <w:p w14:paraId="4221A7F9" w14:textId="77777777" w:rsidR="00EF53B5" w:rsidRDefault="0032690F" w:rsidP="004852A6">
      <w:pPr>
        <w:jc w:val="both"/>
      </w:pPr>
      <w:r>
        <w:t xml:space="preserve">The legal base of compilation methodology of Retail Trade indicators is </w:t>
      </w:r>
      <w:r w:rsidR="00657D11" w:rsidRPr="00657D11">
        <w:t>Regulation (EU) 2019/2152 of the European Parliament and of the Council of 27 November 2019 on European Business Statistics.</w:t>
      </w:r>
    </w:p>
    <w:p w14:paraId="2035C650" w14:textId="77777777" w:rsidR="00657D11" w:rsidRPr="00EF53B5" w:rsidRDefault="00657D11" w:rsidP="004852A6">
      <w:pPr>
        <w:jc w:val="both"/>
        <w:rPr>
          <w:lang w:val="sq-AL"/>
        </w:rPr>
      </w:pPr>
    </w:p>
    <w:p w14:paraId="4A05B025" w14:textId="77777777" w:rsidR="004852A6" w:rsidRPr="000E079E" w:rsidRDefault="004852A6" w:rsidP="004852A6">
      <w:pPr>
        <w:autoSpaceDE w:val="0"/>
        <w:autoSpaceDN w:val="0"/>
        <w:adjustRightInd w:val="0"/>
        <w:jc w:val="both"/>
      </w:pPr>
      <w:r w:rsidRPr="000E079E">
        <w:rPr>
          <w:b/>
          <w:bCs/>
        </w:rPr>
        <w:t>Scope</w:t>
      </w:r>
      <w:r w:rsidRPr="000E079E">
        <w:t xml:space="preserve"> - Based on the main activity in the survey there are included: </w:t>
      </w:r>
    </w:p>
    <w:p w14:paraId="57436769" w14:textId="77777777" w:rsidR="004852A6" w:rsidRPr="000E079E" w:rsidRDefault="004852A6" w:rsidP="004852A6">
      <w:pPr>
        <w:autoSpaceDE w:val="0"/>
        <w:autoSpaceDN w:val="0"/>
        <w:adjustRightInd w:val="0"/>
        <w:jc w:val="both"/>
      </w:pPr>
    </w:p>
    <w:p w14:paraId="4FE31D88" w14:textId="77777777" w:rsidR="004852A6" w:rsidRPr="000E079E" w:rsidRDefault="004852A6" w:rsidP="00501AA3">
      <w:pPr>
        <w:autoSpaceDE w:val="0"/>
        <w:autoSpaceDN w:val="0"/>
        <w:adjustRightInd w:val="0"/>
        <w:spacing w:line="360" w:lineRule="auto"/>
        <w:jc w:val="both"/>
      </w:pPr>
      <w:r w:rsidRPr="000E079E">
        <w:t>• Retail trade activity</w:t>
      </w:r>
      <w:r w:rsidR="00501AA3">
        <w:t xml:space="preserve"> </w:t>
      </w:r>
      <w:r w:rsidRPr="000E079E">
        <w:t xml:space="preserve">group 47-NACE-Rev. 2.2 (excluding the group 47.79-47.99) </w:t>
      </w:r>
    </w:p>
    <w:p w14:paraId="56F0C3F2" w14:textId="77777777" w:rsidR="004852A6" w:rsidRDefault="004852A6" w:rsidP="00501AA3">
      <w:pPr>
        <w:autoSpaceDE w:val="0"/>
        <w:autoSpaceDN w:val="0"/>
        <w:adjustRightInd w:val="0"/>
        <w:spacing w:line="360" w:lineRule="auto"/>
        <w:jc w:val="both"/>
      </w:pPr>
      <w:r w:rsidRPr="000E079E">
        <w:t>• Retail sale of motor fuel</w:t>
      </w:r>
      <w:r w:rsidR="00501AA3">
        <w:t xml:space="preserve"> </w:t>
      </w:r>
      <w:r w:rsidRPr="000E079E">
        <w:t>group 473-NACE Rev.2</w:t>
      </w:r>
    </w:p>
    <w:p w14:paraId="6D99F713" w14:textId="77777777" w:rsidR="00501AA3" w:rsidRPr="000E079E" w:rsidRDefault="00501AA3" w:rsidP="004852A6">
      <w:pPr>
        <w:autoSpaceDE w:val="0"/>
        <w:autoSpaceDN w:val="0"/>
        <w:adjustRightInd w:val="0"/>
        <w:jc w:val="both"/>
      </w:pPr>
    </w:p>
    <w:p w14:paraId="46A87DC7" w14:textId="77777777" w:rsidR="004852A6" w:rsidRPr="000E079E" w:rsidRDefault="004852A6" w:rsidP="004852A6">
      <w:pPr>
        <w:jc w:val="both"/>
      </w:pPr>
      <w:r w:rsidRPr="000E079E">
        <w:t xml:space="preserve">The groups are evaluated on the base of percentage that each product or goods had covered in the total Turnover. For the codification of products the Nomenclature of the Products was used. </w:t>
      </w:r>
    </w:p>
    <w:p w14:paraId="48EE0818" w14:textId="77777777" w:rsidR="004852A6" w:rsidRDefault="004852A6" w:rsidP="004852A6">
      <w:pPr>
        <w:jc w:val="both"/>
      </w:pPr>
      <w:r w:rsidRPr="000E079E">
        <w:t>The main groups of are in accordance with the corresponding groups in the Index of Prices of Consume. The indexes ar</w:t>
      </w:r>
      <w:r w:rsidR="006D6131">
        <w:t>e compared to the base year 20</w:t>
      </w:r>
      <w:r w:rsidR="00622A42">
        <w:t>21</w:t>
      </w:r>
      <w:r w:rsidRPr="000E079E">
        <w:t>=100.</w:t>
      </w:r>
    </w:p>
    <w:p w14:paraId="6EB96186" w14:textId="77777777" w:rsidR="00B56564" w:rsidRDefault="00B56564" w:rsidP="004852A6">
      <w:pPr>
        <w:jc w:val="both"/>
      </w:pPr>
    </w:p>
    <w:p w14:paraId="58DF4598" w14:textId="77777777" w:rsidR="00B56564" w:rsidRDefault="00B56564" w:rsidP="004852A6">
      <w:pPr>
        <w:jc w:val="both"/>
      </w:pPr>
      <w:r w:rsidRPr="004D7E40">
        <w:rPr>
          <w:b/>
        </w:rPr>
        <w:t>Weights</w:t>
      </w:r>
      <w:r>
        <w:t xml:space="preserve"> – The structure of weights on Retail Trade</w:t>
      </w:r>
      <w:r w:rsidR="00385E2A">
        <w:t>:</w:t>
      </w:r>
    </w:p>
    <w:p w14:paraId="087DB210" w14:textId="77777777" w:rsidR="00B56564" w:rsidRPr="00B56564" w:rsidRDefault="00B56564" w:rsidP="004852A6">
      <w:pPr>
        <w:jc w:val="both"/>
        <w:rPr>
          <w:color w:val="FF0000"/>
        </w:rPr>
      </w:pPr>
    </w:p>
    <w:p w14:paraId="5924BB1F" w14:textId="77777777" w:rsidR="00B56564" w:rsidRPr="004D7E40" w:rsidRDefault="00B56564" w:rsidP="004852A6">
      <w:pPr>
        <w:jc w:val="both"/>
      </w:pPr>
      <w:r w:rsidRPr="004D7E40">
        <w:t>Food</w:t>
      </w:r>
      <w:r w:rsidR="00A153DD">
        <w:t>.</w:t>
      </w:r>
      <w:r w:rsidRPr="004D7E40">
        <w:t xml:space="preserve"> beverages and tobacco in both specialized and </w:t>
      </w:r>
      <w:r w:rsidR="004F3258" w:rsidRPr="004D7E40">
        <w:t>non-specialized</w:t>
      </w:r>
      <w:r w:rsidRPr="004D7E40">
        <w:t xml:space="preserve"> stores </w:t>
      </w:r>
      <w:r w:rsidR="000B3C8B">
        <w:t>3</w:t>
      </w:r>
      <w:r w:rsidR="00627174">
        <w:t>0</w:t>
      </w:r>
      <w:r w:rsidR="00A153DD">
        <w:t>.</w:t>
      </w:r>
      <w:r w:rsidR="002604EA">
        <w:t>0</w:t>
      </w:r>
      <w:r w:rsidRPr="004D7E40">
        <w:t>%</w:t>
      </w:r>
    </w:p>
    <w:p w14:paraId="712B6DA6" w14:textId="77777777" w:rsidR="00B56564" w:rsidRPr="004D7E40" w:rsidRDefault="00B56564" w:rsidP="004852A6">
      <w:pPr>
        <w:jc w:val="both"/>
      </w:pPr>
    </w:p>
    <w:p w14:paraId="2A1A6DE5" w14:textId="77777777" w:rsidR="00B56564" w:rsidRPr="004D7E40" w:rsidRDefault="00B56564" w:rsidP="004852A6">
      <w:pPr>
        <w:jc w:val="both"/>
      </w:pPr>
      <w:r w:rsidRPr="004D7E40">
        <w:t xml:space="preserve">Non-food Products in specialized and </w:t>
      </w:r>
      <w:r w:rsidR="00693DE4" w:rsidRPr="004D7E40">
        <w:t>non-specialized</w:t>
      </w:r>
      <w:r w:rsidRPr="004D7E40">
        <w:t xml:space="preserve"> stores 4</w:t>
      </w:r>
      <w:r w:rsidR="002604EA">
        <w:t>0</w:t>
      </w:r>
      <w:r w:rsidR="00A153DD">
        <w:t>.</w:t>
      </w:r>
      <w:r w:rsidR="000B3C8B">
        <w:t>0</w:t>
      </w:r>
      <w:r w:rsidRPr="004D7E40">
        <w:t>%</w:t>
      </w:r>
    </w:p>
    <w:p w14:paraId="52F6B5F1" w14:textId="77777777" w:rsidR="00B56564" w:rsidRPr="004D7E40" w:rsidRDefault="00B56564" w:rsidP="004852A6">
      <w:pPr>
        <w:jc w:val="both"/>
      </w:pPr>
    </w:p>
    <w:p w14:paraId="5DAED0E4" w14:textId="77777777" w:rsidR="00B56564" w:rsidRPr="004D7E40" w:rsidRDefault="00B56564" w:rsidP="004852A6">
      <w:pPr>
        <w:jc w:val="both"/>
      </w:pPr>
      <w:r w:rsidRPr="004D7E40">
        <w:t xml:space="preserve">Retail sale of motor fuel </w:t>
      </w:r>
      <w:r w:rsidR="002604EA">
        <w:t>30</w:t>
      </w:r>
      <w:r w:rsidR="00A153DD">
        <w:t>.</w:t>
      </w:r>
      <w:r w:rsidR="002604EA">
        <w:t>0</w:t>
      </w:r>
      <w:r w:rsidRPr="004D7E40">
        <w:t xml:space="preserve"> %  </w:t>
      </w:r>
    </w:p>
    <w:p w14:paraId="16909BB7" w14:textId="77777777" w:rsidR="00B56564" w:rsidRPr="004D7E40" w:rsidRDefault="00B56564" w:rsidP="004852A6">
      <w:pPr>
        <w:jc w:val="both"/>
      </w:pPr>
    </w:p>
    <w:p w14:paraId="44B269A3" w14:textId="77777777" w:rsidR="004852A6" w:rsidRDefault="004852A6" w:rsidP="004852A6">
      <w:pPr>
        <w:autoSpaceDE w:val="0"/>
        <w:autoSpaceDN w:val="0"/>
        <w:adjustRightInd w:val="0"/>
        <w:jc w:val="both"/>
      </w:pPr>
      <w:r w:rsidRPr="004D7E40">
        <w:rPr>
          <w:b/>
          <w:bCs/>
        </w:rPr>
        <w:t>Model</w:t>
      </w:r>
      <w:r w:rsidRPr="004D7E40">
        <w:t xml:space="preserve"> - The enterprises are selected from the Statistical Register of Enterprises. The enterprises with 1-4 employees are surveyed by sample survey</w:t>
      </w:r>
      <w:r w:rsidR="00A153DD">
        <w:t>.</w:t>
      </w:r>
      <w:r w:rsidRPr="004D7E40">
        <w:t xml:space="preserve"> whereas the enterprises with 5 and more employees are surveyed exhaustively.</w:t>
      </w:r>
    </w:p>
    <w:p w14:paraId="0B8B67DD" w14:textId="77777777" w:rsidR="0058517F" w:rsidRDefault="0058517F" w:rsidP="004852A6">
      <w:pPr>
        <w:autoSpaceDE w:val="0"/>
        <w:autoSpaceDN w:val="0"/>
        <w:adjustRightInd w:val="0"/>
        <w:jc w:val="both"/>
        <w:rPr>
          <w:b/>
          <w:bCs/>
        </w:rPr>
      </w:pPr>
    </w:p>
    <w:p w14:paraId="7E1C2DFF" w14:textId="77777777" w:rsidR="0024025B" w:rsidRPr="004D7E40" w:rsidRDefault="004852A6" w:rsidP="004852A6">
      <w:pPr>
        <w:autoSpaceDE w:val="0"/>
        <w:autoSpaceDN w:val="0"/>
        <w:adjustRightInd w:val="0"/>
        <w:jc w:val="both"/>
      </w:pPr>
      <w:r w:rsidRPr="004D7E40">
        <w:rPr>
          <w:b/>
          <w:bCs/>
        </w:rPr>
        <w:lastRenderedPageBreak/>
        <w:t>Data collection</w:t>
      </w:r>
      <w:r w:rsidRPr="004D7E40">
        <w:t xml:space="preserve"> </w:t>
      </w:r>
      <w:r w:rsidR="0024025B">
        <w:t xml:space="preserve">– Administrative data source and </w:t>
      </w:r>
      <w:r w:rsidR="00DC3C99">
        <w:t xml:space="preserve">PAPI </w:t>
      </w:r>
      <w:r w:rsidR="0024025B">
        <w:t xml:space="preserve">method is used this quarter. </w:t>
      </w:r>
    </w:p>
    <w:p w14:paraId="1A1D8FFE" w14:textId="77777777" w:rsidR="0058517F" w:rsidRDefault="0058517F" w:rsidP="004852A6">
      <w:pPr>
        <w:autoSpaceDE w:val="0"/>
        <w:autoSpaceDN w:val="0"/>
        <w:adjustRightInd w:val="0"/>
        <w:jc w:val="both"/>
        <w:rPr>
          <w:b/>
          <w:bCs/>
        </w:rPr>
      </w:pPr>
    </w:p>
    <w:p w14:paraId="7B29BC97" w14:textId="77777777" w:rsidR="004852A6" w:rsidRDefault="004852A6" w:rsidP="004852A6">
      <w:pPr>
        <w:autoSpaceDE w:val="0"/>
        <w:autoSpaceDN w:val="0"/>
        <w:adjustRightInd w:val="0"/>
        <w:jc w:val="both"/>
      </w:pPr>
      <w:r w:rsidRPr="004D7E40">
        <w:rPr>
          <w:b/>
          <w:bCs/>
        </w:rPr>
        <w:t>Indicators</w:t>
      </w:r>
      <w:r w:rsidRPr="004D7E40">
        <w:t xml:space="preserve"> – The indicators are given in Index form</w:t>
      </w:r>
      <w:r w:rsidR="00FF1ABE">
        <w:t xml:space="preserve"> </w:t>
      </w:r>
      <w:r w:rsidRPr="004D7E40">
        <w:t>the quarterly changes are given in percentage</w:t>
      </w:r>
      <w:r w:rsidR="00CF11E1">
        <w:t>.</w:t>
      </w:r>
      <w:r w:rsidRPr="004D7E40">
        <w:t xml:space="preserve"> </w:t>
      </w:r>
      <w:r w:rsidR="00F2646A" w:rsidRPr="004D7E40">
        <w:t>Whereas</w:t>
      </w:r>
      <w:r w:rsidRPr="004D7E40">
        <w:t xml:space="preserve"> the annual changes are given in percentage with reference</w:t>
      </w:r>
      <w:r w:rsidR="006978FA">
        <w:t xml:space="preserve"> to the base year</w:t>
      </w:r>
      <w:r w:rsidR="00CF11E1">
        <w:t>.</w:t>
      </w:r>
      <w:r w:rsidR="006978FA">
        <w:t xml:space="preserve"> actually 20</w:t>
      </w:r>
      <w:r w:rsidR="002604EA">
        <w:t>21</w:t>
      </w:r>
      <w:r w:rsidRPr="004D7E40">
        <w:t>=100. The data do not present absolute values.</w:t>
      </w:r>
    </w:p>
    <w:p w14:paraId="0B34EB57" w14:textId="77777777" w:rsidR="004467CA" w:rsidRPr="004D7E40" w:rsidRDefault="004467CA" w:rsidP="004852A6">
      <w:pPr>
        <w:autoSpaceDE w:val="0"/>
        <w:autoSpaceDN w:val="0"/>
        <w:adjustRightInd w:val="0"/>
        <w:jc w:val="both"/>
      </w:pPr>
    </w:p>
    <w:p w14:paraId="08350D19" w14:textId="77777777" w:rsidR="004852A6" w:rsidRDefault="004852A6" w:rsidP="004852A6">
      <w:pPr>
        <w:autoSpaceDE w:val="0"/>
        <w:autoSpaceDN w:val="0"/>
        <w:adjustRightInd w:val="0"/>
        <w:jc w:val="both"/>
      </w:pPr>
      <w:r w:rsidRPr="004467CA">
        <w:rPr>
          <w:b/>
          <w:bCs/>
        </w:rPr>
        <w:t>Indexes</w:t>
      </w:r>
      <w:r w:rsidRPr="004D7E40">
        <w:t xml:space="preserve"> – The indexes show the changes in time of a given variable</w:t>
      </w:r>
      <w:r w:rsidR="00CF11E1">
        <w:t>.</w:t>
      </w:r>
      <w:r w:rsidRPr="004D7E40">
        <w:t xml:space="preserve"> or of a group of variables. The Index Volume is calculated through the </w:t>
      </w:r>
      <w:proofErr w:type="spellStart"/>
      <w:r w:rsidRPr="004D7E40">
        <w:t>Laspeyres</w:t>
      </w:r>
      <w:proofErr w:type="spellEnd"/>
      <w:r w:rsidRPr="004D7E40">
        <w:t xml:space="preserve"> Formula. In order to avoid the prices impact</w:t>
      </w:r>
      <w:r w:rsidR="005F3E36">
        <w:t>.</w:t>
      </w:r>
      <w:r w:rsidRPr="004D7E40">
        <w:t xml:space="preserve"> the indexes are deflated with the index of the price consume for the respective periods and corresponding groups.    </w:t>
      </w:r>
    </w:p>
    <w:p w14:paraId="76443D2A" w14:textId="77777777" w:rsidR="004467CA" w:rsidRPr="004D7E40" w:rsidRDefault="004467CA" w:rsidP="004852A6">
      <w:pPr>
        <w:autoSpaceDE w:val="0"/>
        <w:autoSpaceDN w:val="0"/>
        <w:adjustRightInd w:val="0"/>
        <w:jc w:val="both"/>
      </w:pPr>
    </w:p>
    <w:p w14:paraId="32EB603B" w14:textId="77777777" w:rsidR="004852A6" w:rsidRDefault="004852A6" w:rsidP="004852A6">
      <w:pPr>
        <w:autoSpaceDE w:val="0"/>
        <w:autoSpaceDN w:val="0"/>
        <w:adjustRightInd w:val="0"/>
        <w:jc w:val="both"/>
      </w:pPr>
      <w:r w:rsidRPr="004D7E40">
        <w:rPr>
          <w:b/>
          <w:bCs/>
        </w:rPr>
        <w:t>The annual change in percentage</w:t>
      </w:r>
      <w:r w:rsidRPr="004D7E40">
        <w:t xml:space="preserve"> - it measures in percentage the change of economic indicators of the actual quarter compared with the same quarter of the previous year.</w:t>
      </w:r>
    </w:p>
    <w:p w14:paraId="0AD78789" w14:textId="77777777" w:rsidR="004467CA" w:rsidRPr="004D7E40" w:rsidRDefault="004467CA" w:rsidP="004852A6">
      <w:pPr>
        <w:autoSpaceDE w:val="0"/>
        <w:autoSpaceDN w:val="0"/>
        <w:adjustRightInd w:val="0"/>
        <w:jc w:val="both"/>
      </w:pPr>
    </w:p>
    <w:p w14:paraId="09774CEB" w14:textId="77777777" w:rsidR="004467CA" w:rsidRDefault="004852A6" w:rsidP="004852A6">
      <w:pPr>
        <w:jc w:val="both"/>
      </w:pPr>
      <w:r w:rsidRPr="004D7E40">
        <w:rPr>
          <w:b/>
          <w:bCs/>
        </w:rPr>
        <w:t>The quarterly change in percentage</w:t>
      </w:r>
      <w:r w:rsidRPr="004D7E40">
        <w:t xml:space="preserve"> – it measures in percentage the change of economic indicators of the actual quarter against compared with the previous quarter of the same year</w:t>
      </w:r>
      <w:r w:rsidR="0058517F">
        <w:t>.</w:t>
      </w:r>
    </w:p>
    <w:p w14:paraId="40CE850D" w14:textId="77777777" w:rsidR="004852A6" w:rsidRPr="004D7E40" w:rsidRDefault="004852A6" w:rsidP="004852A6">
      <w:pPr>
        <w:jc w:val="both"/>
      </w:pPr>
      <w:r w:rsidRPr="004D7E40">
        <w:t xml:space="preserve">.     </w:t>
      </w:r>
    </w:p>
    <w:p w14:paraId="4DD3079B" w14:textId="77777777" w:rsidR="004852A6" w:rsidRDefault="004852A6" w:rsidP="004852A6">
      <w:pPr>
        <w:jc w:val="both"/>
      </w:pPr>
      <w:r w:rsidRPr="004D7E40">
        <w:rPr>
          <w:b/>
          <w:bCs/>
        </w:rPr>
        <w:t>Revision</w:t>
      </w:r>
      <w:r w:rsidRPr="004D7E40">
        <w:t xml:space="preserve"> – Indexes may be revised due to several reasons: additional information</w:t>
      </w:r>
      <w:r w:rsidR="00A153DD">
        <w:t>.</w:t>
      </w:r>
      <w:r w:rsidRPr="004D7E40">
        <w:t xml:space="preserve"> the methodological changes or revaluation of the used coefficients etc.     </w:t>
      </w:r>
    </w:p>
    <w:p w14:paraId="33D7B4E1" w14:textId="77777777" w:rsidR="004467CA" w:rsidRPr="004D7E40" w:rsidRDefault="004467CA" w:rsidP="004852A6">
      <w:pPr>
        <w:jc w:val="both"/>
      </w:pPr>
    </w:p>
    <w:p w14:paraId="7542E0F8" w14:textId="77777777" w:rsidR="004852A6" w:rsidRPr="004467CA" w:rsidRDefault="004852A6" w:rsidP="004852A6">
      <w:pPr>
        <w:jc w:val="both"/>
        <w:rPr>
          <w:rFonts w:ascii="Arial" w:eastAsia="MS PGothic" w:hAnsi="Arial" w:cs="Arial"/>
          <w:bCs/>
        </w:rPr>
      </w:pPr>
      <w:r w:rsidRPr="004D7E40">
        <w:rPr>
          <w:b/>
          <w:bCs/>
        </w:rPr>
        <w:t>Definition of the main indicators</w:t>
      </w:r>
      <w:r w:rsidRPr="004D7E40">
        <w:t xml:space="preserve"> – </w:t>
      </w:r>
      <w:r w:rsidRPr="004467CA">
        <w:rPr>
          <w:rFonts w:ascii="Arial" w:eastAsia="MS PGothic" w:hAnsi="Arial" w:cs="Arial"/>
          <w:bCs/>
        </w:rPr>
        <w:t>Turnover is the total amount realized by enterprises during the month from the selling of goods</w:t>
      </w:r>
      <w:r w:rsidR="00CF11E1">
        <w:rPr>
          <w:rFonts w:ascii="Arial" w:eastAsia="MS PGothic" w:hAnsi="Arial" w:cs="Arial"/>
          <w:bCs/>
        </w:rPr>
        <w:t>.</w:t>
      </w:r>
      <w:r w:rsidRPr="004467CA">
        <w:rPr>
          <w:rFonts w:ascii="Arial" w:eastAsia="MS PGothic" w:hAnsi="Arial" w:cs="Arial"/>
          <w:bCs/>
        </w:rPr>
        <w:t xml:space="preserve"> selling of own products and services excluded VAT. </w:t>
      </w:r>
    </w:p>
    <w:p w14:paraId="21BD8401" w14:textId="77777777" w:rsidR="004852A6" w:rsidRPr="004467CA" w:rsidRDefault="004852A6" w:rsidP="004852A6">
      <w:pPr>
        <w:autoSpaceDE w:val="0"/>
        <w:autoSpaceDN w:val="0"/>
        <w:adjustRightInd w:val="0"/>
        <w:jc w:val="both"/>
        <w:rPr>
          <w:rFonts w:ascii="Arial" w:eastAsia="MS PGothic" w:hAnsi="Arial" w:cs="Arial"/>
          <w:bCs/>
        </w:rPr>
      </w:pPr>
      <w:r w:rsidRPr="004467CA">
        <w:rPr>
          <w:rFonts w:ascii="Arial" w:eastAsia="MS PGothic" w:hAnsi="Arial" w:cs="Arial"/>
          <w:bCs/>
        </w:rPr>
        <w:t xml:space="preserve">Number of persons working includes all persons who actually work in the observed unit. There are included owners and co-owners and family members that helps in the activity and employees in the end of the quarter. </w:t>
      </w:r>
    </w:p>
    <w:p w14:paraId="7E7DE237" w14:textId="77777777" w:rsidR="004852A6" w:rsidRDefault="004852A6" w:rsidP="004852A6">
      <w:pPr>
        <w:spacing w:after="240"/>
      </w:pPr>
    </w:p>
    <w:p w14:paraId="3E5C5F9A" w14:textId="77777777" w:rsidR="001B49DE" w:rsidRPr="007D73E4" w:rsidRDefault="001B49DE" w:rsidP="001B49DE">
      <w:pPr>
        <w:pStyle w:val="BodyText"/>
        <w:spacing w:after="120" w:line="360" w:lineRule="auto"/>
        <w:ind w:left="0" w:firstLine="0"/>
        <w:rPr>
          <w:b/>
        </w:rPr>
      </w:pPr>
      <w:r w:rsidRPr="007D73E4">
        <w:rPr>
          <w:b/>
        </w:rPr>
        <w:t xml:space="preserve">Seasonal and calendar adjustment </w:t>
      </w:r>
    </w:p>
    <w:p w14:paraId="78CC6817" w14:textId="77777777" w:rsidR="001B49DE" w:rsidRPr="007D73E4" w:rsidRDefault="001B49DE" w:rsidP="004467CA">
      <w:pPr>
        <w:pStyle w:val="BodyText"/>
        <w:spacing w:after="120" w:line="360" w:lineRule="auto"/>
        <w:ind w:left="0" w:firstLine="0"/>
      </w:pPr>
      <w:r w:rsidRPr="007D73E4">
        <w:t>Seasonal and calendar adjustment of monthly / quarterly time series of retail trade</w:t>
      </w:r>
      <w:r w:rsidR="009905A5" w:rsidRPr="007D73E4">
        <w:t xml:space="preserve"> is done by using </w:t>
      </w:r>
      <w:proofErr w:type="spellStart"/>
      <w:r w:rsidR="009905A5" w:rsidRPr="007D73E4">
        <w:t>JDemetra</w:t>
      </w:r>
      <w:proofErr w:type="spellEnd"/>
      <w:r w:rsidR="009905A5" w:rsidRPr="007D73E4">
        <w:t>+ 2.</w:t>
      </w:r>
      <w:r w:rsidR="002604EA" w:rsidRPr="007D73E4">
        <w:t xml:space="preserve">4 </w:t>
      </w:r>
      <w:r w:rsidRPr="007D73E4">
        <w:t>version software. The chosen model for the decomposition of time series is X-12 ARIMA</w:t>
      </w:r>
      <w:r w:rsidR="00A153DD">
        <w:t>.</w:t>
      </w:r>
      <w:r w:rsidR="00FF1ABE" w:rsidRPr="007D73E4">
        <w:t xml:space="preserve"> </w:t>
      </w:r>
      <w:r w:rsidRPr="007D73E4">
        <w:t>under specification X-13 the span of time series is from 2005 to 20</w:t>
      </w:r>
      <w:r w:rsidR="00021199" w:rsidRPr="007D73E4">
        <w:t>2</w:t>
      </w:r>
      <w:r w:rsidR="002604EA" w:rsidRPr="007D73E4">
        <w:t>4</w:t>
      </w:r>
      <w:r w:rsidRPr="007D73E4">
        <w:t xml:space="preserve">. X-12 ARIMA model is totally based in moving average. In </w:t>
      </w:r>
      <w:r w:rsidR="00FF1ABE" w:rsidRPr="007D73E4">
        <w:t>all-time</w:t>
      </w:r>
      <w:r w:rsidRPr="007D73E4">
        <w:t xml:space="preserve"> series is applied the multiplicative decomposition and the direct approach. </w:t>
      </w:r>
      <w:r w:rsidR="009905A5" w:rsidRPr="007D73E4">
        <w:t xml:space="preserve">In multiplicative method there is a relationship between trend </w:t>
      </w:r>
      <w:r w:rsidR="00FF1ABE" w:rsidRPr="007D73E4">
        <w:t>components</w:t>
      </w:r>
      <w:r w:rsidR="00A153DD">
        <w:t>.</w:t>
      </w:r>
      <w:r w:rsidR="009905A5" w:rsidRPr="007D73E4">
        <w:t xml:space="preserve"> seasonal component and irregularity component. Irregularity component may include sampling errors and unpredictable events. In</w:t>
      </w:r>
      <w:r w:rsidRPr="007D73E4">
        <w:t xml:space="preserve"> calendar adjustment is applied the specification of trading day and a national calendar</w:t>
      </w:r>
      <w:r w:rsidR="00CF11E1" w:rsidRPr="007D73E4">
        <w:t>.</w:t>
      </w:r>
      <w:r w:rsidRPr="007D73E4">
        <w:t xml:space="preserve"> considering both moving and fix national holidays. During the process of seasonal adjustment are treated even the special case occurred during the time series span</w:t>
      </w:r>
      <w:r w:rsidR="00CF11E1" w:rsidRPr="007D73E4">
        <w:t>.</w:t>
      </w:r>
      <w:r w:rsidRPr="007D73E4">
        <w:t xml:space="preserve"> identified by software as outlier.</w:t>
      </w:r>
    </w:p>
    <w:sectPr w:rsidR="001B49DE" w:rsidRPr="007D73E4" w:rsidSect="00976B5F">
      <w:headerReference w:type="default" r:id="rId13"/>
      <w:footerReference w:type="default" r:id="rId14"/>
      <w:footerReference w:type="first" r:id="rId15"/>
      <w:pgSz w:w="12240" w:h="15840" w:code="1"/>
      <w:pgMar w:top="1710" w:right="1350" w:bottom="1440" w:left="965"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EEED" w14:textId="77777777" w:rsidR="005705CA" w:rsidRDefault="005705CA">
      <w:r>
        <w:separator/>
      </w:r>
    </w:p>
  </w:endnote>
  <w:endnote w:type="continuationSeparator" w:id="0">
    <w:p w14:paraId="21F97F45" w14:textId="77777777" w:rsidR="005705CA" w:rsidRDefault="0057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5516" w14:textId="77777777" w:rsidR="003A3607" w:rsidRPr="00FD4E78" w:rsidRDefault="003A3607" w:rsidP="006F4AE5">
    <w:pPr>
      <w:pStyle w:val="Footer"/>
    </w:pPr>
    <w:r>
      <w:rPr>
        <w:sz w:val="18"/>
        <w:lang w:val="sq-AL"/>
      </w:rPr>
      <w:t xml:space="preserve">For more information please visit our website: </w:t>
    </w:r>
    <w:r w:rsidRPr="00A211F3">
      <w:rPr>
        <w:sz w:val="18"/>
        <w:lang w:val="sq-AL"/>
      </w:rPr>
      <w:t xml:space="preserve"> </w:t>
    </w:r>
    <w:hyperlink r:id="rId1" w:history="1">
      <w:r w:rsidRPr="00FF5222">
        <w:rPr>
          <w:rStyle w:val="Hyperlink"/>
          <w:i w:val="0"/>
        </w:rPr>
        <w:t>http://www.instat.gov.al/en/themes.aspx</w:t>
      </w:r>
    </w:hyperlink>
  </w:p>
  <w:p w14:paraId="419F1B23" w14:textId="77777777" w:rsidR="003A3607" w:rsidRPr="006F4AE5" w:rsidRDefault="003A3607" w:rsidP="006F4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0339" w14:textId="77777777" w:rsidR="003A3607" w:rsidRPr="002B442D" w:rsidRDefault="003A3607" w:rsidP="00D166A0">
    <w:pPr>
      <w:pStyle w:val="Date"/>
      <w:ind w:left="270"/>
      <w:rPr>
        <w:lang w:val="sq-AL"/>
      </w:rPr>
    </w:pPr>
    <w:r>
      <w:rPr>
        <w:lang w:val="sq-AL"/>
      </w:rPr>
      <w:t>For release 13</w:t>
    </w:r>
    <w:r w:rsidRPr="002B442D">
      <w:rPr>
        <w:lang w:val="sq-AL"/>
      </w:rPr>
      <w:t>/</w:t>
    </w:r>
    <w:r>
      <w:rPr>
        <w:lang w:val="sq-AL"/>
      </w:rPr>
      <w:t>09/2024</w:t>
    </w:r>
    <w:r>
      <w:rPr>
        <w:lang w:val="sq-AL"/>
      </w:rPr>
      <w:tab/>
    </w:r>
  </w:p>
  <w:p w14:paraId="5383807E" w14:textId="77777777" w:rsidR="003A3607" w:rsidRDefault="003A3607" w:rsidP="003A3607">
    <w:pPr>
      <w:pStyle w:val="Header"/>
      <w:tabs>
        <w:tab w:val="clear" w:pos="4320"/>
        <w:tab w:val="clear" w:pos="9480"/>
        <w:tab w:val="left" w:pos="8878"/>
      </w:tabs>
      <w:rPr>
        <w:sz w:val="14"/>
        <w:szCs w:val="14"/>
      </w:rPr>
    </w:pPr>
    <w:bookmarkStart w:id="1" w:name="_Hlk176519761"/>
    <w:bookmarkEnd w:id="1"/>
    <w:r>
      <w:rPr>
        <w:i/>
        <w:sz w:val="18"/>
      </w:rPr>
      <w:t xml:space="preserve">                                                                                                                                                                                                         </w:t>
    </w:r>
    <w:r w:rsidRPr="003A3607">
      <w:rPr>
        <w:i/>
      </w:rPr>
      <w:t>Continue</w:t>
    </w:r>
    <w:r w:rsidRPr="003A3607">
      <w:rPr>
        <w:sz w:val="12"/>
        <w:szCs w:val="14"/>
      </w:rPr>
      <w:t xml:space="preserve"> </w:t>
    </w:r>
    <w:r>
      <w:rPr>
        <w:sz w:val="14"/>
        <w:szCs w:val="14"/>
      </w:rPr>
      <w:t>_______________________________________________________________________________________________________________________________________</w:t>
    </w:r>
    <w:r w:rsidRPr="003A3607">
      <w:t xml:space="preserve"> </w:t>
    </w:r>
  </w:p>
  <w:p w14:paraId="76E532FE" w14:textId="77777777" w:rsidR="003A3607" w:rsidRDefault="003A3607" w:rsidP="003A3607">
    <w:pPr>
      <w:pStyle w:val="Header"/>
      <w:tabs>
        <w:tab w:val="clear" w:pos="4320"/>
        <w:tab w:val="clear" w:pos="9480"/>
        <w:tab w:val="left" w:pos="8878"/>
      </w:tabs>
      <w:rPr>
        <w:sz w:val="14"/>
        <w:szCs w:val="14"/>
      </w:rPr>
    </w:pPr>
  </w:p>
  <w:p w14:paraId="51E23694" w14:textId="77777777" w:rsidR="003A3607" w:rsidRPr="00AA6E54" w:rsidRDefault="003A3607" w:rsidP="003A3607">
    <w:pPr>
      <w:pStyle w:val="Header"/>
      <w:tabs>
        <w:tab w:val="clear" w:pos="4320"/>
        <w:tab w:val="clear" w:pos="9480"/>
        <w:tab w:val="left" w:pos="8878"/>
      </w:tabs>
      <w:rPr>
        <w:sz w:val="14"/>
        <w:szCs w:val="14"/>
      </w:rPr>
    </w:pPr>
    <w:proofErr w:type="spellStart"/>
    <w:r>
      <w:rPr>
        <w:sz w:val="14"/>
        <w:szCs w:val="14"/>
      </w:rPr>
      <w:t>Instituti</w:t>
    </w:r>
    <w:proofErr w:type="spellEnd"/>
    <w:r>
      <w:rPr>
        <w:sz w:val="14"/>
        <w:szCs w:val="14"/>
      </w:rPr>
      <w:t xml:space="preserve"> </w:t>
    </w:r>
    <w:proofErr w:type="spellStart"/>
    <w:r>
      <w:rPr>
        <w:sz w:val="14"/>
        <w:szCs w:val="14"/>
      </w:rPr>
      <w:t>i</w:t>
    </w:r>
    <w:proofErr w:type="spellEnd"/>
    <w:r>
      <w:rPr>
        <w:sz w:val="14"/>
        <w:szCs w:val="14"/>
      </w:rPr>
      <w:t xml:space="preserve"> </w:t>
    </w:r>
    <w:proofErr w:type="spellStart"/>
    <w:r>
      <w:rPr>
        <w:sz w:val="14"/>
        <w:szCs w:val="14"/>
      </w:rPr>
      <w:t>Statistikave</w:t>
    </w:r>
    <w:proofErr w:type="spellEnd"/>
    <w:r>
      <w:rPr>
        <w:sz w:val="14"/>
        <w:szCs w:val="14"/>
      </w:rPr>
      <w:t xml:space="preserve">                 </w:t>
    </w:r>
    <w:hyperlink r:id="rId1" w:history="1">
      <w:r w:rsidRPr="00FB0937">
        <w:rPr>
          <w:rStyle w:val="Hyperlink"/>
          <w:sz w:val="14"/>
          <w:szCs w:val="14"/>
        </w:rPr>
        <w:t>info@instat.gov.al</w:t>
      </w:r>
    </w:hyperlink>
    <w:r>
      <w:rPr>
        <w:sz w:val="14"/>
        <w:szCs w:val="14"/>
      </w:rPr>
      <w:t xml:space="preserve"> </w:t>
    </w:r>
    <w:r w:rsidRPr="00AA6E54">
      <w:rPr>
        <w:sz w:val="14"/>
        <w:szCs w:val="14"/>
      </w:rPr>
      <w:t xml:space="preserve">  </w:t>
    </w:r>
  </w:p>
  <w:p w14:paraId="6E54B2CA" w14:textId="77777777" w:rsidR="003A3607" w:rsidRPr="00AA6E54" w:rsidRDefault="003A3607" w:rsidP="003A3607">
    <w:pPr>
      <w:pStyle w:val="Header"/>
      <w:tabs>
        <w:tab w:val="clear" w:pos="4320"/>
        <w:tab w:val="clear" w:pos="9480"/>
        <w:tab w:val="left" w:pos="7375"/>
      </w:tabs>
      <w:rPr>
        <w:sz w:val="14"/>
        <w:szCs w:val="14"/>
      </w:rPr>
    </w:pPr>
    <w:r>
      <w:rPr>
        <w:sz w:val="14"/>
        <w:szCs w:val="14"/>
      </w:rPr>
      <w:t xml:space="preserve">Rr. </w:t>
    </w:r>
    <w:proofErr w:type="spellStart"/>
    <w:r>
      <w:rPr>
        <w:sz w:val="14"/>
        <w:szCs w:val="14"/>
      </w:rPr>
      <w:t>Vllazën</w:t>
    </w:r>
    <w:proofErr w:type="spellEnd"/>
    <w:r>
      <w:rPr>
        <w:sz w:val="14"/>
        <w:szCs w:val="14"/>
      </w:rPr>
      <w:t xml:space="preserve"> </w:t>
    </w:r>
    <w:proofErr w:type="spellStart"/>
    <w:proofErr w:type="gramStart"/>
    <w:r>
      <w:rPr>
        <w:sz w:val="14"/>
        <w:szCs w:val="14"/>
      </w:rPr>
      <w:t>Huta</w:t>
    </w:r>
    <w:proofErr w:type="spellEnd"/>
    <w:r>
      <w:rPr>
        <w:sz w:val="14"/>
        <w:szCs w:val="14"/>
      </w:rPr>
      <w:t xml:space="preserve">,   </w:t>
    </w:r>
    <w:proofErr w:type="gramEnd"/>
    <w:r>
      <w:rPr>
        <w:sz w:val="14"/>
        <w:szCs w:val="14"/>
      </w:rPr>
      <w:t xml:space="preserve">                   </w:t>
    </w:r>
    <w:hyperlink r:id="rId2" w:history="1">
      <w:r w:rsidRPr="00F423D8">
        <w:rPr>
          <w:rStyle w:val="Hyperlink"/>
          <w:sz w:val="14"/>
          <w:szCs w:val="14"/>
        </w:rPr>
        <w:t>www.instat.gov.al</w:t>
      </w:r>
    </w:hyperlink>
    <w:r>
      <w:rPr>
        <w:sz w:val="14"/>
        <w:szCs w:val="14"/>
      </w:rPr>
      <w:t xml:space="preserve"> </w:t>
    </w:r>
  </w:p>
  <w:p w14:paraId="425BE638" w14:textId="77777777" w:rsidR="003A3607" w:rsidRPr="00AA6E54" w:rsidRDefault="003A3607" w:rsidP="003A3607">
    <w:pPr>
      <w:pStyle w:val="Header"/>
      <w:rPr>
        <w:sz w:val="14"/>
        <w:szCs w:val="14"/>
      </w:rPr>
    </w:pPr>
    <w:proofErr w:type="spellStart"/>
    <w:r w:rsidRPr="00AA6E54">
      <w:rPr>
        <w:sz w:val="14"/>
        <w:szCs w:val="14"/>
      </w:rPr>
      <w:t>Ndë</w:t>
    </w:r>
    <w:r>
      <w:rPr>
        <w:sz w:val="14"/>
        <w:szCs w:val="14"/>
      </w:rPr>
      <w:t>rtesa</w:t>
    </w:r>
    <w:proofErr w:type="spellEnd"/>
    <w:r>
      <w:rPr>
        <w:sz w:val="14"/>
        <w:szCs w:val="14"/>
      </w:rPr>
      <w:t xml:space="preserve"> 35, </w:t>
    </w:r>
    <w:proofErr w:type="spellStart"/>
    <w:r>
      <w:rPr>
        <w:sz w:val="14"/>
        <w:szCs w:val="14"/>
      </w:rPr>
      <w:t>Hyrja</w:t>
    </w:r>
    <w:proofErr w:type="spellEnd"/>
    <w:r>
      <w:rPr>
        <w:sz w:val="14"/>
        <w:szCs w:val="14"/>
      </w:rPr>
      <w:t xml:space="preserve"> 1                </w:t>
    </w:r>
    <w:r w:rsidRPr="00AA6E54">
      <w:rPr>
        <w:sz w:val="14"/>
        <w:szCs w:val="14"/>
      </w:rPr>
      <w:t>Tel: +355 4 2222 411</w:t>
    </w:r>
  </w:p>
  <w:p w14:paraId="5A9BCF7A" w14:textId="77777777" w:rsidR="003A3607" w:rsidRPr="00AA6E54" w:rsidRDefault="003A3607" w:rsidP="003A3607">
    <w:pPr>
      <w:pStyle w:val="Header"/>
      <w:rPr>
        <w:sz w:val="14"/>
        <w:szCs w:val="14"/>
      </w:rPr>
    </w:pPr>
    <w:proofErr w:type="spellStart"/>
    <w:r>
      <w:rPr>
        <w:sz w:val="14"/>
        <w:szCs w:val="14"/>
      </w:rPr>
      <w:t>Tiranë</w:t>
    </w:r>
    <w:proofErr w:type="spellEnd"/>
    <w:r>
      <w:rPr>
        <w:sz w:val="14"/>
        <w:szCs w:val="14"/>
      </w:rPr>
      <w:t xml:space="preserve">, </w:t>
    </w:r>
    <w:proofErr w:type="spellStart"/>
    <w:r>
      <w:rPr>
        <w:sz w:val="14"/>
        <w:szCs w:val="14"/>
      </w:rPr>
      <w:t>Kodi</w:t>
    </w:r>
    <w:proofErr w:type="spellEnd"/>
    <w:r>
      <w:rPr>
        <w:sz w:val="14"/>
        <w:szCs w:val="14"/>
      </w:rPr>
      <w:t xml:space="preserve"> </w:t>
    </w:r>
    <w:proofErr w:type="spellStart"/>
    <w:r>
      <w:rPr>
        <w:sz w:val="14"/>
        <w:szCs w:val="14"/>
      </w:rPr>
      <w:t>Postar</w:t>
    </w:r>
    <w:proofErr w:type="spellEnd"/>
    <w:r>
      <w:rPr>
        <w:sz w:val="14"/>
        <w:szCs w:val="14"/>
      </w:rPr>
      <w:t xml:space="preserve"> 1017         </w:t>
    </w:r>
    <w:proofErr w:type="spellStart"/>
    <w:r w:rsidRPr="00AA6E54">
      <w:rPr>
        <w:sz w:val="14"/>
        <w:szCs w:val="14"/>
      </w:rPr>
      <w:t>Faks</w:t>
    </w:r>
    <w:proofErr w:type="spellEnd"/>
    <w:r w:rsidRPr="00AA6E54">
      <w:rPr>
        <w:sz w:val="14"/>
        <w:szCs w:val="14"/>
      </w:rPr>
      <w:t>: +355 4 2222 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B4064" w14:textId="77777777" w:rsidR="005705CA" w:rsidRDefault="005705CA">
      <w:r>
        <w:separator/>
      </w:r>
    </w:p>
  </w:footnote>
  <w:footnote w:type="continuationSeparator" w:id="0">
    <w:p w14:paraId="031C0C5D" w14:textId="77777777" w:rsidR="005705CA" w:rsidRDefault="0057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2D047" w14:textId="77777777" w:rsidR="003A3607" w:rsidRPr="00287A03" w:rsidRDefault="003A3607" w:rsidP="00663BC3">
    <w:pPr>
      <w:jc w:val="both"/>
      <w:rPr>
        <w:lang w:val="sq-AL"/>
      </w:rPr>
    </w:pPr>
    <w:r w:rsidRPr="00762773">
      <w:t>Page</w:t>
    </w:r>
    <w:r w:rsidRPr="008A3985">
      <w:rPr>
        <w:lang w:val="sq-AL"/>
      </w:rPr>
      <w:t xml:space="preserve"> </w:t>
    </w:r>
    <w:r w:rsidRPr="008A3985">
      <w:rPr>
        <w:lang w:val="sq-AL"/>
      </w:rPr>
      <w:fldChar w:fldCharType="begin"/>
    </w:r>
    <w:r w:rsidRPr="008A3985">
      <w:rPr>
        <w:lang w:val="sq-AL"/>
      </w:rPr>
      <w:instrText xml:space="preserve"> PAGE \* Arabic \* MERGEFORMAT </w:instrText>
    </w:r>
    <w:r w:rsidRPr="008A3985">
      <w:rPr>
        <w:lang w:val="sq-AL"/>
      </w:rPr>
      <w:fldChar w:fldCharType="separate"/>
    </w:r>
    <w:r>
      <w:rPr>
        <w:noProof/>
        <w:lang w:val="sq-AL"/>
      </w:rPr>
      <w:t>4</w:t>
    </w:r>
    <w:r w:rsidRPr="008A3985">
      <w:rPr>
        <w:noProof/>
        <w:lang w:val="sq-AL"/>
      </w:rPr>
      <w:fldChar w:fldCharType="end"/>
    </w:r>
    <w:r>
      <w:rPr>
        <w:noProof/>
        <w:lang w:val="sq-AL"/>
      </w:rPr>
      <w:t xml:space="preserve"> </w:t>
    </w:r>
    <w:r>
      <w:rPr>
        <w:noProof/>
        <w:lang w:val="sq-AL"/>
      </w:rPr>
      <w:tab/>
      <w:t xml:space="preserve">            </w:t>
    </w:r>
    <w:r>
      <w:rPr>
        <w:noProof/>
        <w:lang w:val="sq-AL"/>
      </w:rPr>
      <w:tab/>
    </w:r>
    <w:r>
      <w:rPr>
        <w:noProof/>
        <w:lang w:val="sq-AL"/>
      </w:rPr>
      <w:tab/>
    </w:r>
    <w:r>
      <w:rPr>
        <w:noProof/>
        <w:lang w:val="sq-AL"/>
      </w:rPr>
      <w:tab/>
    </w:r>
    <w:r>
      <w:rPr>
        <w:noProof/>
        <w:lang w:val="sq-AL"/>
      </w:rPr>
      <w:tab/>
    </w:r>
    <w:r w:rsidRPr="00762773">
      <w:t>Retail Trade</w:t>
    </w:r>
    <w:r>
      <w:rPr>
        <w:lang w:val="sq-AL"/>
      </w:rPr>
      <w:tab/>
    </w:r>
    <w:r>
      <w:rPr>
        <w:lang w:val="sq-AL"/>
      </w:rPr>
      <w:tab/>
    </w:r>
    <w:r>
      <w:rPr>
        <w:lang w:val="sq-AL"/>
      </w:rPr>
      <w:tab/>
    </w:r>
    <w:r>
      <w:rPr>
        <w:lang w:val="sq-AL"/>
      </w:rPr>
      <w:tab/>
    </w:r>
    <w:sdt>
      <w:sdtPr>
        <w:rPr>
          <w:sz w:val="18"/>
          <w:szCs w:val="18"/>
        </w:rPr>
        <w:alias w:val="Headline"/>
        <w:tag w:val="Headline"/>
        <w:id w:val="434909376"/>
        <w:placeholder>
          <w:docPart w:val="F42E907F9D5545BB923F3F2D2EDDD15D"/>
        </w:placeholder>
        <w:dataBinding w:prefixMappings="xmlns:ns0='http://purl.org/dc/elements/1.1/' xmlns:ns1='http://schemas.openxmlformats.org/package/2006/metadata/core-properties' " w:xpath="/ns1:coreProperties[1]/ns0:description[1]" w:storeItemID="{6C3C8BC8-F283-45AE-878A-BAB7291924A1}"/>
        <w:text w:multiLine="1"/>
      </w:sdtPr>
      <w:sdtContent>
        <w:r>
          <w:rPr>
            <w:sz w:val="18"/>
            <w:szCs w:val="18"/>
          </w:rPr>
          <w:t>Second Quarter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18A4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336D91"/>
    <w:multiLevelType w:val="hybridMultilevel"/>
    <w:tmpl w:val="4694F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ED95847"/>
    <w:multiLevelType w:val="hybridMultilevel"/>
    <w:tmpl w:val="CF00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31DF1"/>
    <w:multiLevelType w:val="hybridMultilevel"/>
    <w:tmpl w:val="CC6A9E5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1E3D5013"/>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C87F64"/>
    <w:multiLevelType w:val="hybridMultilevel"/>
    <w:tmpl w:val="69E26F90"/>
    <w:lvl w:ilvl="0" w:tplc="3274EA9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273B78"/>
    <w:multiLevelType w:val="hybridMultilevel"/>
    <w:tmpl w:val="39A61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8" w15:restartNumberingAfterBreak="0">
    <w:nsid w:val="230E7990"/>
    <w:multiLevelType w:val="hybridMultilevel"/>
    <w:tmpl w:val="BD947D24"/>
    <w:lvl w:ilvl="0" w:tplc="C3E49530">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9" w15:restartNumberingAfterBreak="0">
    <w:nsid w:val="2D21794E"/>
    <w:multiLevelType w:val="hybridMultilevel"/>
    <w:tmpl w:val="0C846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E231A6"/>
    <w:multiLevelType w:val="hybridMultilevel"/>
    <w:tmpl w:val="F5D0CF00"/>
    <w:lvl w:ilvl="0" w:tplc="041C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396476BA"/>
    <w:multiLevelType w:val="hybridMultilevel"/>
    <w:tmpl w:val="17EAF1BA"/>
    <w:lvl w:ilvl="0" w:tplc="041C0001">
      <w:start w:val="1"/>
      <w:numFmt w:val="bullet"/>
      <w:lvlText w:val=""/>
      <w:lvlJc w:val="left"/>
      <w:pPr>
        <w:ind w:left="765" w:hanging="360"/>
      </w:pPr>
      <w:rPr>
        <w:rFonts w:ascii="Symbol" w:hAnsi="Symbol" w:hint="default"/>
      </w:rPr>
    </w:lvl>
    <w:lvl w:ilvl="1" w:tplc="041C0003" w:tentative="1">
      <w:start w:val="1"/>
      <w:numFmt w:val="bullet"/>
      <w:lvlText w:val="o"/>
      <w:lvlJc w:val="left"/>
      <w:pPr>
        <w:ind w:left="1485" w:hanging="360"/>
      </w:pPr>
      <w:rPr>
        <w:rFonts w:ascii="Courier New" w:hAnsi="Courier New" w:cs="Courier New" w:hint="default"/>
      </w:rPr>
    </w:lvl>
    <w:lvl w:ilvl="2" w:tplc="041C0005" w:tentative="1">
      <w:start w:val="1"/>
      <w:numFmt w:val="bullet"/>
      <w:lvlText w:val=""/>
      <w:lvlJc w:val="left"/>
      <w:pPr>
        <w:ind w:left="2205" w:hanging="360"/>
      </w:pPr>
      <w:rPr>
        <w:rFonts w:ascii="Wingdings" w:hAnsi="Wingdings" w:hint="default"/>
      </w:rPr>
    </w:lvl>
    <w:lvl w:ilvl="3" w:tplc="041C0001" w:tentative="1">
      <w:start w:val="1"/>
      <w:numFmt w:val="bullet"/>
      <w:lvlText w:val=""/>
      <w:lvlJc w:val="left"/>
      <w:pPr>
        <w:ind w:left="2925" w:hanging="360"/>
      </w:pPr>
      <w:rPr>
        <w:rFonts w:ascii="Symbol" w:hAnsi="Symbol" w:hint="default"/>
      </w:rPr>
    </w:lvl>
    <w:lvl w:ilvl="4" w:tplc="041C0003" w:tentative="1">
      <w:start w:val="1"/>
      <w:numFmt w:val="bullet"/>
      <w:lvlText w:val="o"/>
      <w:lvlJc w:val="left"/>
      <w:pPr>
        <w:ind w:left="3645" w:hanging="360"/>
      </w:pPr>
      <w:rPr>
        <w:rFonts w:ascii="Courier New" w:hAnsi="Courier New" w:cs="Courier New" w:hint="default"/>
      </w:rPr>
    </w:lvl>
    <w:lvl w:ilvl="5" w:tplc="041C0005" w:tentative="1">
      <w:start w:val="1"/>
      <w:numFmt w:val="bullet"/>
      <w:lvlText w:val=""/>
      <w:lvlJc w:val="left"/>
      <w:pPr>
        <w:ind w:left="4365" w:hanging="360"/>
      </w:pPr>
      <w:rPr>
        <w:rFonts w:ascii="Wingdings" w:hAnsi="Wingdings" w:hint="default"/>
      </w:rPr>
    </w:lvl>
    <w:lvl w:ilvl="6" w:tplc="041C0001" w:tentative="1">
      <w:start w:val="1"/>
      <w:numFmt w:val="bullet"/>
      <w:lvlText w:val=""/>
      <w:lvlJc w:val="left"/>
      <w:pPr>
        <w:ind w:left="5085" w:hanging="360"/>
      </w:pPr>
      <w:rPr>
        <w:rFonts w:ascii="Symbol" w:hAnsi="Symbol" w:hint="default"/>
      </w:rPr>
    </w:lvl>
    <w:lvl w:ilvl="7" w:tplc="041C0003" w:tentative="1">
      <w:start w:val="1"/>
      <w:numFmt w:val="bullet"/>
      <w:lvlText w:val="o"/>
      <w:lvlJc w:val="left"/>
      <w:pPr>
        <w:ind w:left="5805" w:hanging="360"/>
      </w:pPr>
      <w:rPr>
        <w:rFonts w:ascii="Courier New" w:hAnsi="Courier New" w:cs="Courier New" w:hint="default"/>
      </w:rPr>
    </w:lvl>
    <w:lvl w:ilvl="8" w:tplc="041C0005" w:tentative="1">
      <w:start w:val="1"/>
      <w:numFmt w:val="bullet"/>
      <w:lvlText w:val=""/>
      <w:lvlJc w:val="left"/>
      <w:pPr>
        <w:ind w:left="6525" w:hanging="360"/>
      </w:pPr>
      <w:rPr>
        <w:rFonts w:ascii="Wingdings" w:hAnsi="Wingdings" w:hint="default"/>
      </w:rPr>
    </w:lvl>
  </w:abstractNum>
  <w:abstractNum w:abstractNumId="22" w15:restartNumberingAfterBreak="0">
    <w:nsid w:val="42A44759"/>
    <w:multiLevelType w:val="hybridMultilevel"/>
    <w:tmpl w:val="B226D2B6"/>
    <w:lvl w:ilvl="0" w:tplc="3274EA9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F170E"/>
    <w:multiLevelType w:val="hybridMultilevel"/>
    <w:tmpl w:val="52A888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abstractNum w:abstractNumId="25" w15:restartNumberingAfterBreak="0">
    <w:nsid w:val="755046E3"/>
    <w:multiLevelType w:val="hybridMultilevel"/>
    <w:tmpl w:val="6FCC4A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24"/>
  </w:num>
  <w:num w:numId="3">
    <w:abstractNumId w:val="17"/>
  </w:num>
  <w:num w:numId="4">
    <w:abstractNumId w:val="24"/>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1"/>
  </w:num>
  <w:num w:numId="18">
    <w:abstractNumId w:val="13"/>
  </w:num>
  <w:num w:numId="19">
    <w:abstractNumId w:val="20"/>
  </w:num>
  <w:num w:numId="20">
    <w:abstractNumId w:val="14"/>
  </w:num>
  <w:num w:numId="21">
    <w:abstractNumId w:val="23"/>
  </w:num>
  <w:num w:numId="22">
    <w:abstractNumId w:val="16"/>
  </w:num>
  <w:num w:numId="23">
    <w:abstractNumId w:val="15"/>
  </w:num>
  <w:num w:numId="24">
    <w:abstractNumId w:val="22"/>
  </w:num>
  <w:num w:numId="25">
    <w:abstractNumId w:val="19"/>
  </w:num>
  <w:num w:numId="26">
    <w:abstractNumId w:val="18"/>
  </w:num>
  <w:num w:numId="27">
    <w:abstractNumId w:val="2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74A"/>
    <w:rsid w:val="000028FD"/>
    <w:rsid w:val="00003501"/>
    <w:rsid w:val="000036EA"/>
    <w:rsid w:val="00003F85"/>
    <w:rsid w:val="00004F9E"/>
    <w:rsid w:val="000056E5"/>
    <w:rsid w:val="000104CE"/>
    <w:rsid w:val="000126A9"/>
    <w:rsid w:val="00014829"/>
    <w:rsid w:val="00014A00"/>
    <w:rsid w:val="00014BAE"/>
    <w:rsid w:val="000153B0"/>
    <w:rsid w:val="0001630A"/>
    <w:rsid w:val="00016CBC"/>
    <w:rsid w:val="00021199"/>
    <w:rsid w:val="00021C41"/>
    <w:rsid w:val="000249B9"/>
    <w:rsid w:val="00036254"/>
    <w:rsid w:val="00037868"/>
    <w:rsid w:val="0003795B"/>
    <w:rsid w:val="00037C90"/>
    <w:rsid w:val="00043769"/>
    <w:rsid w:val="000503D5"/>
    <w:rsid w:val="000512D7"/>
    <w:rsid w:val="0005342B"/>
    <w:rsid w:val="00053540"/>
    <w:rsid w:val="00055251"/>
    <w:rsid w:val="00056C1E"/>
    <w:rsid w:val="00056CF3"/>
    <w:rsid w:val="000639A5"/>
    <w:rsid w:val="00063DEF"/>
    <w:rsid w:val="000648CC"/>
    <w:rsid w:val="00066598"/>
    <w:rsid w:val="00067811"/>
    <w:rsid w:val="00070B92"/>
    <w:rsid w:val="00071435"/>
    <w:rsid w:val="00076369"/>
    <w:rsid w:val="00076DA2"/>
    <w:rsid w:val="00081207"/>
    <w:rsid w:val="00081562"/>
    <w:rsid w:val="00084EA4"/>
    <w:rsid w:val="0008516C"/>
    <w:rsid w:val="0008550E"/>
    <w:rsid w:val="00090076"/>
    <w:rsid w:val="0009123A"/>
    <w:rsid w:val="000922DE"/>
    <w:rsid w:val="000925AE"/>
    <w:rsid w:val="00092804"/>
    <w:rsid w:val="000932C0"/>
    <w:rsid w:val="0009492D"/>
    <w:rsid w:val="0009567F"/>
    <w:rsid w:val="00097389"/>
    <w:rsid w:val="00097BE5"/>
    <w:rsid w:val="000A18E4"/>
    <w:rsid w:val="000A1BC7"/>
    <w:rsid w:val="000A25FA"/>
    <w:rsid w:val="000A2A61"/>
    <w:rsid w:val="000A4F84"/>
    <w:rsid w:val="000A7CE1"/>
    <w:rsid w:val="000B3C8B"/>
    <w:rsid w:val="000B58EF"/>
    <w:rsid w:val="000B6B01"/>
    <w:rsid w:val="000B70CC"/>
    <w:rsid w:val="000B7134"/>
    <w:rsid w:val="000C0120"/>
    <w:rsid w:val="000C122F"/>
    <w:rsid w:val="000C1ADF"/>
    <w:rsid w:val="000C3780"/>
    <w:rsid w:val="000C61B9"/>
    <w:rsid w:val="000C6389"/>
    <w:rsid w:val="000C6EE4"/>
    <w:rsid w:val="000D1522"/>
    <w:rsid w:val="000D1E45"/>
    <w:rsid w:val="000D313C"/>
    <w:rsid w:val="000D3D70"/>
    <w:rsid w:val="000D4503"/>
    <w:rsid w:val="000D4DEA"/>
    <w:rsid w:val="000D7989"/>
    <w:rsid w:val="000E079E"/>
    <w:rsid w:val="000E0941"/>
    <w:rsid w:val="000E255B"/>
    <w:rsid w:val="000E2C44"/>
    <w:rsid w:val="000E4B46"/>
    <w:rsid w:val="000E5F90"/>
    <w:rsid w:val="000F440E"/>
    <w:rsid w:val="000F66F5"/>
    <w:rsid w:val="000F7292"/>
    <w:rsid w:val="0010196F"/>
    <w:rsid w:val="00105051"/>
    <w:rsid w:val="00106E8E"/>
    <w:rsid w:val="00110C0E"/>
    <w:rsid w:val="00111BCE"/>
    <w:rsid w:val="00111D03"/>
    <w:rsid w:val="00114D99"/>
    <w:rsid w:val="00122481"/>
    <w:rsid w:val="00123BCC"/>
    <w:rsid w:val="001246E6"/>
    <w:rsid w:val="00125683"/>
    <w:rsid w:val="001258CC"/>
    <w:rsid w:val="0012642B"/>
    <w:rsid w:val="001267B3"/>
    <w:rsid w:val="00127C6E"/>
    <w:rsid w:val="00132EA4"/>
    <w:rsid w:val="001372A6"/>
    <w:rsid w:val="00137A05"/>
    <w:rsid w:val="00140094"/>
    <w:rsid w:val="001406B2"/>
    <w:rsid w:val="00140D4D"/>
    <w:rsid w:val="001422C9"/>
    <w:rsid w:val="0014236A"/>
    <w:rsid w:val="00143FC7"/>
    <w:rsid w:val="00145B71"/>
    <w:rsid w:val="00146EB1"/>
    <w:rsid w:val="001520BE"/>
    <w:rsid w:val="001544FA"/>
    <w:rsid w:val="0015709F"/>
    <w:rsid w:val="001570BE"/>
    <w:rsid w:val="00163D3E"/>
    <w:rsid w:val="001656E4"/>
    <w:rsid w:val="00166C30"/>
    <w:rsid w:val="00166F28"/>
    <w:rsid w:val="00167403"/>
    <w:rsid w:val="00170428"/>
    <w:rsid w:val="00173C49"/>
    <w:rsid w:val="001778E9"/>
    <w:rsid w:val="00180C5B"/>
    <w:rsid w:val="00181628"/>
    <w:rsid w:val="00184126"/>
    <w:rsid w:val="001914ED"/>
    <w:rsid w:val="001919A5"/>
    <w:rsid w:val="00191E4F"/>
    <w:rsid w:val="001938BD"/>
    <w:rsid w:val="00194767"/>
    <w:rsid w:val="00194A22"/>
    <w:rsid w:val="001960B0"/>
    <w:rsid w:val="00197553"/>
    <w:rsid w:val="001A03C2"/>
    <w:rsid w:val="001A041E"/>
    <w:rsid w:val="001A1FF7"/>
    <w:rsid w:val="001A20F9"/>
    <w:rsid w:val="001A336A"/>
    <w:rsid w:val="001A4C88"/>
    <w:rsid w:val="001A4CF9"/>
    <w:rsid w:val="001A4D46"/>
    <w:rsid w:val="001A50D1"/>
    <w:rsid w:val="001A52C6"/>
    <w:rsid w:val="001A6730"/>
    <w:rsid w:val="001B1C60"/>
    <w:rsid w:val="001B49DE"/>
    <w:rsid w:val="001B5C18"/>
    <w:rsid w:val="001B7003"/>
    <w:rsid w:val="001B74DA"/>
    <w:rsid w:val="001B7D54"/>
    <w:rsid w:val="001C0857"/>
    <w:rsid w:val="001C2275"/>
    <w:rsid w:val="001C259E"/>
    <w:rsid w:val="001C302D"/>
    <w:rsid w:val="001C343D"/>
    <w:rsid w:val="001C35BA"/>
    <w:rsid w:val="001C6655"/>
    <w:rsid w:val="001C6779"/>
    <w:rsid w:val="001D0FF7"/>
    <w:rsid w:val="001D122F"/>
    <w:rsid w:val="001D1EBB"/>
    <w:rsid w:val="001D2A45"/>
    <w:rsid w:val="001D3AF4"/>
    <w:rsid w:val="001D4B00"/>
    <w:rsid w:val="001D65AD"/>
    <w:rsid w:val="001D741D"/>
    <w:rsid w:val="001D7F0B"/>
    <w:rsid w:val="001E2BBE"/>
    <w:rsid w:val="001E47D0"/>
    <w:rsid w:val="001E5D72"/>
    <w:rsid w:val="001E7143"/>
    <w:rsid w:val="001F0A25"/>
    <w:rsid w:val="001F1A27"/>
    <w:rsid w:val="001F2596"/>
    <w:rsid w:val="001F2B19"/>
    <w:rsid w:val="001F3931"/>
    <w:rsid w:val="001F434A"/>
    <w:rsid w:val="001F4531"/>
    <w:rsid w:val="001F45BE"/>
    <w:rsid w:val="001F58A4"/>
    <w:rsid w:val="001F6891"/>
    <w:rsid w:val="001F68BB"/>
    <w:rsid w:val="001F6C3A"/>
    <w:rsid w:val="001F6F94"/>
    <w:rsid w:val="00200420"/>
    <w:rsid w:val="0020400B"/>
    <w:rsid w:val="002045C5"/>
    <w:rsid w:val="002079EA"/>
    <w:rsid w:val="00207A57"/>
    <w:rsid w:val="00211C7D"/>
    <w:rsid w:val="002156EB"/>
    <w:rsid w:val="002158A4"/>
    <w:rsid w:val="0021613F"/>
    <w:rsid w:val="0021761C"/>
    <w:rsid w:val="00220B05"/>
    <w:rsid w:val="00221666"/>
    <w:rsid w:val="00222043"/>
    <w:rsid w:val="002241B1"/>
    <w:rsid w:val="00224D50"/>
    <w:rsid w:val="00225A5C"/>
    <w:rsid w:val="00226C83"/>
    <w:rsid w:val="00227241"/>
    <w:rsid w:val="00227E84"/>
    <w:rsid w:val="0023526A"/>
    <w:rsid w:val="0023597A"/>
    <w:rsid w:val="0023602E"/>
    <w:rsid w:val="00236FA6"/>
    <w:rsid w:val="00237D3F"/>
    <w:rsid w:val="0024025B"/>
    <w:rsid w:val="002403A6"/>
    <w:rsid w:val="00241E21"/>
    <w:rsid w:val="00242118"/>
    <w:rsid w:val="0024457D"/>
    <w:rsid w:val="002447B7"/>
    <w:rsid w:val="00244AA8"/>
    <w:rsid w:val="00247CF3"/>
    <w:rsid w:val="00247EE4"/>
    <w:rsid w:val="00250DFA"/>
    <w:rsid w:val="00250EBD"/>
    <w:rsid w:val="0025115E"/>
    <w:rsid w:val="002512DE"/>
    <w:rsid w:val="00254A2A"/>
    <w:rsid w:val="00256C00"/>
    <w:rsid w:val="002604EA"/>
    <w:rsid w:val="00260515"/>
    <w:rsid w:val="00260F36"/>
    <w:rsid w:val="00263273"/>
    <w:rsid w:val="00264ADC"/>
    <w:rsid w:val="00264B18"/>
    <w:rsid w:val="0026699F"/>
    <w:rsid w:val="0027316A"/>
    <w:rsid w:val="002744C1"/>
    <w:rsid w:val="0027629A"/>
    <w:rsid w:val="0027761E"/>
    <w:rsid w:val="00277687"/>
    <w:rsid w:val="002814BF"/>
    <w:rsid w:val="00281E19"/>
    <w:rsid w:val="00282EE1"/>
    <w:rsid w:val="002838A1"/>
    <w:rsid w:val="0028535C"/>
    <w:rsid w:val="00287A03"/>
    <w:rsid w:val="00290B1B"/>
    <w:rsid w:val="00293604"/>
    <w:rsid w:val="002950B5"/>
    <w:rsid w:val="00295C0D"/>
    <w:rsid w:val="00296FD1"/>
    <w:rsid w:val="002B0C7E"/>
    <w:rsid w:val="002B1404"/>
    <w:rsid w:val="002B442D"/>
    <w:rsid w:val="002B4729"/>
    <w:rsid w:val="002B5F3A"/>
    <w:rsid w:val="002B63CE"/>
    <w:rsid w:val="002B7379"/>
    <w:rsid w:val="002B77E6"/>
    <w:rsid w:val="002C02F1"/>
    <w:rsid w:val="002C3C26"/>
    <w:rsid w:val="002C3EEC"/>
    <w:rsid w:val="002C5139"/>
    <w:rsid w:val="002C6580"/>
    <w:rsid w:val="002D1141"/>
    <w:rsid w:val="002D2079"/>
    <w:rsid w:val="002D29CB"/>
    <w:rsid w:val="002D35B0"/>
    <w:rsid w:val="002D433B"/>
    <w:rsid w:val="002D6C70"/>
    <w:rsid w:val="002D749B"/>
    <w:rsid w:val="002E0EEA"/>
    <w:rsid w:val="002E336C"/>
    <w:rsid w:val="002E5F22"/>
    <w:rsid w:val="002F01D3"/>
    <w:rsid w:val="003008D0"/>
    <w:rsid w:val="00302325"/>
    <w:rsid w:val="0030493E"/>
    <w:rsid w:val="00305050"/>
    <w:rsid w:val="00307CB3"/>
    <w:rsid w:val="00315E51"/>
    <w:rsid w:val="00316C97"/>
    <w:rsid w:val="003175B4"/>
    <w:rsid w:val="00322DCB"/>
    <w:rsid w:val="00323EEE"/>
    <w:rsid w:val="0032535A"/>
    <w:rsid w:val="00325B3F"/>
    <w:rsid w:val="00325F99"/>
    <w:rsid w:val="0032690F"/>
    <w:rsid w:val="003270AD"/>
    <w:rsid w:val="00327224"/>
    <w:rsid w:val="00327A53"/>
    <w:rsid w:val="003303DB"/>
    <w:rsid w:val="0033158A"/>
    <w:rsid w:val="003315AE"/>
    <w:rsid w:val="00331BA7"/>
    <w:rsid w:val="00332239"/>
    <w:rsid w:val="0033420B"/>
    <w:rsid w:val="00337326"/>
    <w:rsid w:val="00337A52"/>
    <w:rsid w:val="0034077D"/>
    <w:rsid w:val="00340BCD"/>
    <w:rsid w:val="00341280"/>
    <w:rsid w:val="0034295E"/>
    <w:rsid w:val="0034421C"/>
    <w:rsid w:val="00345940"/>
    <w:rsid w:val="00350589"/>
    <w:rsid w:val="003533D5"/>
    <w:rsid w:val="00353C73"/>
    <w:rsid w:val="00363079"/>
    <w:rsid w:val="00363866"/>
    <w:rsid w:val="003641B1"/>
    <w:rsid w:val="00365981"/>
    <w:rsid w:val="00365D26"/>
    <w:rsid w:val="00365D40"/>
    <w:rsid w:val="00365EC6"/>
    <w:rsid w:val="003662B2"/>
    <w:rsid w:val="00374E16"/>
    <w:rsid w:val="0037665B"/>
    <w:rsid w:val="003771C2"/>
    <w:rsid w:val="00381C72"/>
    <w:rsid w:val="00381F9A"/>
    <w:rsid w:val="00382273"/>
    <w:rsid w:val="00382312"/>
    <w:rsid w:val="00385E2A"/>
    <w:rsid w:val="00394780"/>
    <w:rsid w:val="003A3572"/>
    <w:rsid w:val="003A3607"/>
    <w:rsid w:val="003A36F9"/>
    <w:rsid w:val="003A3BAB"/>
    <w:rsid w:val="003A48FB"/>
    <w:rsid w:val="003A5A35"/>
    <w:rsid w:val="003B671A"/>
    <w:rsid w:val="003B7F7A"/>
    <w:rsid w:val="003C04A9"/>
    <w:rsid w:val="003C05F0"/>
    <w:rsid w:val="003C621A"/>
    <w:rsid w:val="003C62E6"/>
    <w:rsid w:val="003C68E3"/>
    <w:rsid w:val="003C6A9B"/>
    <w:rsid w:val="003C7057"/>
    <w:rsid w:val="003D29D8"/>
    <w:rsid w:val="003D3C7D"/>
    <w:rsid w:val="003D458C"/>
    <w:rsid w:val="003D51D7"/>
    <w:rsid w:val="003E45C8"/>
    <w:rsid w:val="003E5066"/>
    <w:rsid w:val="003E51FD"/>
    <w:rsid w:val="003E691D"/>
    <w:rsid w:val="003E6BA0"/>
    <w:rsid w:val="003F00B1"/>
    <w:rsid w:val="003F1BFB"/>
    <w:rsid w:val="003F26C4"/>
    <w:rsid w:val="003F2EF5"/>
    <w:rsid w:val="003F4731"/>
    <w:rsid w:val="003F6C07"/>
    <w:rsid w:val="003F7F8D"/>
    <w:rsid w:val="004023F1"/>
    <w:rsid w:val="004026DA"/>
    <w:rsid w:val="00402FBD"/>
    <w:rsid w:val="00403AD9"/>
    <w:rsid w:val="00404EA5"/>
    <w:rsid w:val="00406762"/>
    <w:rsid w:val="0041081B"/>
    <w:rsid w:val="004118E5"/>
    <w:rsid w:val="00420840"/>
    <w:rsid w:val="00421F0A"/>
    <w:rsid w:val="0042376A"/>
    <w:rsid w:val="0042626E"/>
    <w:rsid w:val="0043272E"/>
    <w:rsid w:val="00432EB0"/>
    <w:rsid w:val="00432EED"/>
    <w:rsid w:val="0043413D"/>
    <w:rsid w:val="00435762"/>
    <w:rsid w:val="00436D8B"/>
    <w:rsid w:val="0044165F"/>
    <w:rsid w:val="00444C28"/>
    <w:rsid w:val="004467CA"/>
    <w:rsid w:val="00447EAD"/>
    <w:rsid w:val="0045266E"/>
    <w:rsid w:val="00453310"/>
    <w:rsid w:val="00454008"/>
    <w:rsid w:val="0046266A"/>
    <w:rsid w:val="00462DF1"/>
    <w:rsid w:val="00463406"/>
    <w:rsid w:val="00463914"/>
    <w:rsid w:val="004651F3"/>
    <w:rsid w:val="00466211"/>
    <w:rsid w:val="00471C4B"/>
    <w:rsid w:val="0047374A"/>
    <w:rsid w:val="004771AE"/>
    <w:rsid w:val="004805C4"/>
    <w:rsid w:val="00481017"/>
    <w:rsid w:val="004852A6"/>
    <w:rsid w:val="004855CF"/>
    <w:rsid w:val="00485EC6"/>
    <w:rsid w:val="00485F84"/>
    <w:rsid w:val="00486499"/>
    <w:rsid w:val="00492FDF"/>
    <w:rsid w:val="00494B99"/>
    <w:rsid w:val="004967BF"/>
    <w:rsid w:val="004A09A8"/>
    <w:rsid w:val="004A4A65"/>
    <w:rsid w:val="004A4E24"/>
    <w:rsid w:val="004A5D56"/>
    <w:rsid w:val="004A61AF"/>
    <w:rsid w:val="004B0D01"/>
    <w:rsid w:val="004B1805"/>
    <w:rsid w:val="004B1D1C"/>
    <w:rsid w:val="004B21AB"/>
    <w:rsid w:val="004B73B4"/>
    <w:rsid w:val="004C0846"/>
    <w:rsid w:val="004C0F66"/>
    <w:rsid w:val="004C4614"/>
    <w:rsid w:val="004C53FD"/>
    <w:rsid w:val="004C7680"/>
    <w:rsid w:val="004D1248"/>
    <w:rsid w:val="004D3841"/>
    <w:rsid w:val="004D7E40"/>
    <w:rsid w:val="004E0E86"/>
    <w:rsid w:val="004E364F"/>
    <w:rsid w:val="004E6DD2"/>
    <w:rsid w:val="004E7578"/>
    <w:rsid w:val="004E77C1"/>
    <w:rsid w:val="004F011C"/>
    <w:rsid w:val="004F015F"/>
    <w:rsid w:val="004F2219"/>
    <w:rsid w:val="004F3258"/>
    <w:rsid w:val="004F3519"/>
    <w:rsid w:val="004F4DB2"/>
    <w:rsid w:val="004F51B9"/>
    <w:rsid w:val="004F714A"/>
    <w:rsid w:val="0050144F"/>
    <w:rsid w:val="00501AA3"/>
    <w:rsid w:val="00503DE0"/>
    <w:rsid w:val="00506F40"/>
    <w:rsid w:val="005072F8"/>
    <w:rsid w:val="005073ED"/>
    <w:rsid w:val="0051109A"/>
    <w:rsid w:val="00513F56"/>
    <w:rsid w:val="00517D0E"/>
    <w:rsid w:val="00520819"/>
    <w:rsid w:val="005259DA"/>
    <w:rsid w:val="005302C6"/>
    <w:rsid w:val="00534D63"/>
    <w:rsid w:val="00535809"/>
    <w:rsid w:val="00536A56"/>
    <w:rsid w:val="005403C0"/>
    <w:rsid w:val="00543E15"/>
    <w:rsid w:val="00546A87"/>
    <w:rsid w:val="00552DFB"/>
    <w:rsid w:val="005547BF"/>
    <w:rsid w:val="0055527A"/>
    <w:rsid w:val="00555CE1"/>
    <w:rsid w:val="00563796"/>
    <w:rsid w:val="00564512"/>
    <w:rsid w:val="005705CA"/>
    <w:rsid w:val="0057224D"/>
    <w:rsid w:val="00572E98"/>
    <w:rsid w:val="005737BE"/>
    <w:rsid w:val="00575BF6"/>
    <w:rsid w:val="00580FF0"/>
    <w:rsid w:val="005838C4"/>
    <w:rsid w:val="0058517F"/>
    <w:rsid w:val="00585BA7"/>
    <w:rsid w:val="005872A7"/>
    <w:rsid w:val="00587967"/>
    <w:rsid w:val="00591526"/>
    <w:rsid w:val="005919B1"/>
    <w:rsid w:val="00593EDE"/>
    <w:rsid w:val="0059525B"/>
    <w:rsid w:val="00595C4C"/>
    <w:rsid w:val="00595F0A"/>
    <w:rsid w:val="00595FAE"/>
    <w:rsid w:val="005A0B49"/>
    <w:rsid w:val="005A271E"/>
    <w:rsid w:val="005A3A0A"/>
    <w:rsid w:val="005A5792"/>
    <w:rsid w:val="005B3C04"/>
    <w:rsid w:val="005B3DD5"/>
    <w:rsid w:val="005B4784"/>
    <w:rsid w:val="005B4DE5"/>
    <w:rsid w:val="005B7848"/>
    <w:rsid w:val="005B7F23"/>
    <w:rsid w:val="005C181A"/>
    <w:rsid w:val="005C2234"/>
    <w:rsid w:val="005C2E75"/>
    <w:rsid w:val="005C4589"/>
    <w:rsid w:val="005C494A"/>
    <w:rsid w:val="005D026D"/>
    <w:rsid w:val="005D1791"/>
    <w:rsid w:val="005D1A03"/>
    <w:rsid w:val="005D1D02"/>
    <w:rsid w:val="005D274A"/>
    <w:rsid w:val="005D2CE4"/>
    <w:rsid w:val="005D36EA"/>
    <w:rsid w:val="005D3B7E"/>
    <w:rsid w:val="005D3FBD"/>
    <w:rsid w:val="005D41BD"/>
    <w:rsid w:val="005D4D14"/>
    <w:rsid w:val="005D5D3E"/>
    <w:rsid w:val="005E411A"/>
    <w:rsid w:val="005E63EA"/>
    <w:rsid w:val="005E66BA"/>
    <w:rsid w:val="005E7B0F"/>
    <w:rsid w:val="005F247E"/>
    <w:rsid w:val="005F3B82"/>
    <w:rsid w:val="005F3E36"/>
    <w:rsid w:val="005F5AB1"/>
    <w:rsid w:val="00600535"/>
    <w:rsid w:val="0060196B"/>
    <w:rsid w:val="00602242"/>
    <w:rsid w:val="00602AC1"/>
    <w:rsid w:val="006031E8"/>
    <w:rsid w:val="00604F28"/>
    <w:rsid w:val="00605B5A"/>
    <w:rsid w:val="00607DA1"/>
    <w:rsid w:val="00615627"/>
    <w:rsid w:val="00615D4B"/>
    <w:rsid w:val="00616524"/>
    <w:rsid w:val="00622A42"/>
    <w:rsid w:val="00627174"/>
    <w:rsid w:val="00627FC1"/>
    <w:rsid w:val="00631055"/>
    <w:rsid w:val="00631AF2"/>
    <w:rsid w:val="00635C5A"/>
    <w:rsid w:val="00635CC1"/>
    <w:rsid w:val="00640B3B"/>
    <w:rsid w:val="006411B3"/>
    <w:rsid w:val="0064159B"/>
    <w:rsid w:val="006430C0"/>
    <w:rsid w:val="006431C5"/>
    <w:rsid w:val="00644018"/>
    <w:rsid w:val="00645052"/>
    <w:rsid w:val="0064668E"/>
    <w:rsid w:val="00647799"/>
    <w:rsid w:val="00650187"/>
    <w:rsid w:val="00650BBB"/>
    <w:rsid w:val="00653D65"/>
    <w:rsid w:val="006564DD"/>
    <w:rsid w:val="00657C88"/>
    <w:rsid w:val="00657D11"/>
    <w:rsid w:val="006613B4"/>
    <w:rsid w:val="00661676"/>
    <w:rsid w:val="0066263E"/>
    <w:rsid w:val="00663BC3"/>
    <w:rsid w:val="00666F34"/>
    <w:rsid w:val="006726F0"/>
    <w:rsid w:val="00674207"/>
    <w:rsid w:val="00680225"/>
    <w:rsid w:val="0068181F"/>
    <w:rsid w:val="00681D6E"/>
    <w:rsid w:val="00683058"/>
    <w:rsid w:val="00683BB4"/>
    <w:rsid w:val="006843F2"/>
    <w:rsid w:val="006913B4"/>
    <w:rsid w:val="0069170B"/>
    <w:rsid w:val="00693DE4"/>
    <w:rsid w:val="006978FA"/>
    <w:rsid w:val="006A2856"/>
    <w:rsid w:val="006A2A5A"/>
    <w:rsid w:val="006A43E6"/>
    <w:rsid w:val="006A6629"/>
    <w:rsid w:val="006B207D"/>
    <w:rsid w:val="006B2102"/>
    <w:rsid w:val="006B5464"/>
    <w:rsid w:val="006C0086"/>
    <w:rsid w:val="006C1BE8"/>
    <w:rsid w:val="006C228F"/>
    <w:rsid w:val="006C6122"/>
    <w:rsid w:val="006C6601"/>
    <w:rsid w:val="006C7195"/>
    <w:rsid w:val="006D144F"/>
    <w:rsid w:val="006D1F57"/>
    <w:rsid w:val="006D5D98"/>
    <w:rsid w:val="006D6131"/>
    <w:rsid w:val="006D7207"/>
    <w:rsid w:val="006E0A54"/>
    <w:rsid w:val="006E0AA4"/>
    <w:rsid w:val="006E0DEC"/>
    <w:rsid w:val="006E0F25"/>
    <w:rsid w:val="006E1AE9"/>
    <w:rsid w:val="006E2E80"/>
    <w:rsid w:val="006E53D7"/>
    <w:rsid w:val="006E59A8"/>
    <w:rsid w:val="006F02F8"/>
    <w:rsid w:val="006F14B5"/>
    <w:rsid w:val="006F1542"/>
    <w:rsid w:val="006F1E58"/>
    <w:rsid w:val="006F2701"/>
    <w:rsid w:val="006F2D5F"/>
    <w:rsid w:val="006F4AE5"/>
    <w:rsid w:val="006F5C2D"/>
    <w:rsid w:val="006F7E88"/>
    <w:rsid w:val="0070183F"/>
    <w:rsid w:val="00701FFD"/>
    <w:rsid w:val="0070319F"/>
    <w:rsid w:val="00703C0A"/>
    <w:rsid w:val="00703DA0"/>
    <w:rsid w:val="00707553"/>
    <w:rsid w:val="00712E93"/>
    <w:rsid w:val="00712F3E"/>
    <w:rsid w:val="00713F6D"/>
    <w:rsid w:val="0071468F"/>
    <w:rsid w:val="00714887"/>
    <w:rsid w:val="00720017"/>
    <w:rsid w:val="00720249"/>
    <w:rsid w:val="00721BB7"/>
    <w:rsid w:val="00722270"/>
    <w:rsid w:val="0072481F"/>
    <w:rsid w:val="0072494D"/>
    <w:rsid w:val="007251D6"/>
    <w:rsid w:val="00727BA8"/>
    <w:rsid w:val="00735797"/>
    <w:rsid w:val="00736946"/>
    <w:rsid w:val="00740AE0"/>
    <w:rsid w:val="00741515"/>
    <w:rsid w:val="007418BC"/>
    <w:rsid w:val="00741E6B"/>
    <w:rsid w:val="00742437"/>
    <w:rsid w:val="0074520C"/>
    <w:rsid w:val="0074547A"/>
    <w:rsid w:val="007457B0"/>
    <w:rsid w:val="00747163"/>
    <w:rsid w:val="007477DE"/>
    <w:rsid w:val="00747DF1"/>
    <w:rsid w:val="00750518"/>
    <w:rsid w:val="0075070D"/>
    <w:rsid w:val="007514DB"/>
    <w:rsid w:val="00751C20"/>
    <w:rsid w:val="0075768C"/>
    <w:rsid w:val="00760191"/>
    <w:rsid w:val="007605EB"/>
    <w:rsid w:val="007611A8"/>
    <w:rsid w:val="00762323"/>
    <w:rsid w:val="0076305A"/>
    <w:rsid w:val="00770810"/>
    <w:rsid w:val="007725EB"/>
    <w:rsid w:val="00773E35"/>
    <w:rsid w:val="00781901"/>
    <w:rsid w:val="00782B3C"/>
    <w:rsid w:val="007863EA"/>
    <w:rsid w:val="00787001"/>
    <w:rsid w:val="0078794F"/>
    <w:rsid w:val="00791A0A"/>
    <w:rsid w:val="007944DF"/>
    <w:rsid w:val="0079458A"/>
    <w:rsid w:val="00796217"/>
    <w:rsid w:val="00797420"/>
    <w:rsid w:val="007A0DB1"/>
    <w:rsid w:val="007A4AC4"/>
    <w:rsid w:val="007A5D5A"/>
    <w:rsid w:val="007A7A53"/>
    <w:rsid w:val="007A7ABC"/>
    <w:rsid w:val="007B290D"/>
    <w:rsid w:val="007C0468"/>
    <w:rsid w:val="007C0945"/>
    <w:rsid w:val="007C1C9E"/>
    <w:rsid w:val="007C24E4"/>
    <w:rsid w:val="007C6319"/>
    <w:rsid w:val="007D00C9"/>
    <w:rsid w:val="007D146C"/>
    <w:rsid w:val="007D193C"/>
    <w:rsid w:val="007D263C"/>
    <w:rsid w:val="007D26A4"/>
    <w:rsid w:val="007D73E4"/>
    <w:rsid w:val="007D78FA"/>
    <w:rsid w:val="007D79BB"/>
    <w:rsid w:val="007E3851"/>
    <w:rsid w:val="007E3CD7"/>
    <w:rsid w:val="007E6B9F"/>
    <w:rsid w:val="007F0EFA"/>
    <w:rsid w:val="007F2099"/>
    <w:rsid w:val="007F2549"/>
    <w:rsid w:val="007F2FD2"/>
    <w:rsid w:val="007F3AB8"/>
    <w:rsid w:val="007F54B1"/>
    <w:rsid w:val="007F5A67"/>
    <w:rsid w:val="007F6F7C"/>
    <w:rsid w:val="008016F1"/>
    <w:rsid w:val="0080377B"/>
    <w:rsid w:val="00803E44"/>
    <w:rsid w:val="00804C94"/>
    <w:rsid w:val="00805EA6"/>
    <w:rsid w:val="00810BE5"/>
    <w:rsid w:val="00812EE8"/>
    <w:rsid w:val="00815FE7"/>
    <w:rsid w:val="00816FF3"/>
    <w:rsid w:val="0082083A"/>
    <w:rsid w:val="00823ED7"/>
    <w:rsid w:val="00826719"/>
    <w:rsid w:val="00826F40"/>
    <w:rsid w:val="00827250"/>
    <w:rsid w:val="00833015"/>
    <w:rsid w:val="00835D3A"/>
    <w:rsid w:val="008362D7"/>
    <w:rsid w:val="0084181C"/>
    <w:rsid w:val="00844B0B"/>
    <w:rsid w:val="00847196"/>
    <w:rsid w:val="008479CF"/>
    <w:rsid w:val="00847DE1"/>
    <w:rsid w:val="00856C7E"/>
    <w:rsid w:val="0086546F"/>
    <w:rsid w:val="00866429"/>
    <w:rsid w:val="0086750C"/>
    <w:rsid w:val="00870B44"/>
    <w:rsid w:val="00875933"/>
    <w:rsid w:val="0088264B"/>
    <w:rsid w:val="008872BC"/>
    <w:rsid w:val="00887BB8"/>
    <w:rsid w:val="00890310"/>
    <w:rsid w:val="00892195"/>
    <w:rsid w:val="008921D3"/>
    <w:rsid w:val="008A0E66"/>
    <w:rsid w:val="008A3985"/>
    <w:rsid w:val="008A3C4C"/>
    <w:rsid w:val="008A3E3A"/>
    <w:rsid w:val="008A681B"/>
    <w:rsid w:val="008B12C8"/>
    <w:rsid w:val="008B1544"/>
    <w:rsid w:val="008B1BA3"/>
    <w:rsid w:val="008B6CBF"/>
    <w:rsid w:val="008B7B19"/>
    <w:rsid w:val="008C036E"/>
    <w:rsid w:val="008C3F5A"/>
    <w:rsid w:val="008C4234"/>
    <w:rsid w:val="008C5072"/>
    <w:rsid w:val="008C6DEF"/>
    <w:rsid w:val="008C73EE"/>
    <w:rsid w:val="008C7773"/>
    <w:rsid w:val="008D00C6"/>
    <w:rsid w:val="008D0405"/>
    <w:rsid w:val="008D668D"/>
    <w:rsid w:val="008E06A4"/>
    <w:rsid w:val="008E0E5B"/>
    <w:rsid w:val="008E462D"/>
    <w:rsid w:val="008E51C4"/>
    <w:rsid w:val="008E79F3"/>
    <w:rsid w:val="008E7A1B"/>
    <w:rsid w:val="008F2DD9"/>
    <w:rsid w:val="008F3111"/>
    <w:rsid w:val="008F3C4A"/>
    <w:rsid w:val="008F43F1"/>
    <w:rsid w:val="008F4864"/>
    <w:rsid w:val="008F5002"/>
    <w:rsid w:val="008F599B"/>
    <w:rsid w:val="008F60A6"/>
    <w:rsid w:val="008F6563"/>
    <w:rsid w:val="008F6B1E"/>
    <w:rsid w:val="00901845"/>
    <w:rsid w:val="00903365"/>
    <w:rsid w:val="0090357C"/>
    <w:rsid w:val="009039F5"/>
    <w:rsid w:val="00905400"/>
    <w:rsid w:val="009057FA"/>
    <w:rsid w:val="00906DD0"/>
    <w:rsid w:val="0091041A"/>
    <w:rsid w:val="00913506"/>
    <w:rsid w:val="009139CC"/>
    <w:rsid w:val="00913DB7"/>
    <w:rsid w:val="00914FE2"/>
    <w:rsid w:val="00920EE6"/>
    <w:rsid w:val="009213B2"/>
    <w:rsid w:val="00923159"/>
    <w:rsid w:val="0092399F"/>
    <w:rsid w:val="00923A14"/>
    <w:rsid w:val="00926D78"/>
    <w:rsid w:val="0092706F"/>
    <w:rsid w:val="00927B7C"/>
    <w:rsid w:val="00931D82"/>
    <w:rsid w:val="0093238D"/>
    <w:rsid w:val="00934267"/>
    <w:rsid w:val="00935647"/>
    <w:rsid w:val="009429F0"/>
    <w:rsid w:val="009435C8"/>
    <w:rsid w:val="009444F1"/>
    <w:rsid w:val="00951FE4"/>
    <w:rsid w:val="00953C2D"/>
    <w:rsid w:val="0095683B"/>
    <w:rsid w:val="00960DC9"/>
    <w:rsid w:val="0096218E"/>
    <w:rsid w:val="00963B61"/>
    <w:rsid w:val="00964B6E"/>
    <w:rsid w:val="00966308"/>
    <w:rsid w:val="00967286"/>
    <w:rsid w:val="00970A3F"/>
    <w:rsid w:val="0097135E"/>
    <w:rsid w:val="009724EA"/>
    <w:rsid w:val="00976276"/>
    <w:rsid w:val="00976B5F"/>
    <w:rsid w:val="009771D2"/>
    <w:rsid w:val="00980C2A"/>
    <w:rsid w:val="0098176C"/>
    <w:rsid w:val="00981E89"/>
    <w:rsid w:val="00983AD7"/>
    <w:rsid w:val="00984828"/>
    <w:rsid w:val="009905A5"/>
    <w:rsid w:val="00990DAF"/>
    <w:rsid w:val="0099211A"/>
    <w:rsid w:val="00992D98"/>
    <w:rsid w:val="009930FB"/>
    <w:rsid w:val="00995106"/>
    <w:rsid w:val="0099564B"/>
    <w:rsid w:val="009A1C61"/>
    <w:rsid w:val="009A2135"/>
    <w:rsid w:val="009A5DCA"/>
    <w:rsid w:val="009B25AE"/>
    <w:rsid w:val="009B54A2"/>
    <w:rsid w:val="009B5890"/>
    <w:rsid w:val="009B5DB5"/>
    <w:rsid w:val="009B6508"/>
    <w:rsid w:val="009C25AD"/>
    <w:rsid w:val="009D03CB"/>
    <w:rsid w:val="009D2BBB"/>
    <w:rsid w:val="009D4AFB"/>
    <w:rsid w:val="009D5112"/>
    <w:rsid w:val="009D55CF"/>
    <w:rsid w:val="009D7B99"/>
    <w:rsid w:val="009E4884"/>
    <w:rsid w:val="009E7316"/>
    <w:rsid w:val="009E73EF"/>
    <w:rsid w:val="009F013A"/>
    <w:rsid w:val="009F210B"/>
    <w:rsid w:val="009F28FB"/>
    <w:rsid w:val="009F311C"/>
    <w:rsid w:val="009F3B25"/>
    <w:rsid w:val="009F463D"/>
    <w:rsid w:val="009F7AD0"/>
    <w:rsid w:val="00A019FD"/>
    <w:rsid w:val="00A02248"/>
    <w:rsid w:val="00A03ECB"/>
    <w:rsid w:val="00A04ED6"/>
    <w:rsid w:val="00A06D7C"/>
    <w:rsid w:val="00A0714B"/>
    <w:rsid w:val="00A07DFE"/>
    <w:rsid w:val="00A1081A"/>
    <w:rsid w:val="00A153DD"/>
    <w:rsid w:val="00A157B7"/>
    <w:rsid w:val="00A17710"/>
    <w:rsid w:val="00A17BEE"/>
    <w:rsid w:val="00A17E25"/>
    <w:rsid w:val="00A20576"/>
    <w:rsid w:val="00A20DCB"/>
    <w:rsid w:val="00A211F3"/>
    <w:rsid w:val="00A22C90"/>
    <w:rsid w:val="00A238BC"/>
    <w:rsid w:val="00A24960"/>
    <w:rsid w:val="00A30BB5"/>
    <w:rsid w:val="00A33255"/>
    <w:rsid w:val="00A40254"/>
    <w:rsid w:val="00A40762"/>
    <w:rsid w:val="00A440E6"/>
    <w:rsid w:val="00A47F5F"/>
    <w:rsid w:val="00A55433"/>
    <w:rsid w:val="00A64100"/>
    <w:rsid w:val="00A64895"/>
    <w:rsid w:val="00A64C97"/>
    <w:rsid w:val="00A65387"/>
    <w:rsid w:val="00A653B7"/>
    <w:rsid w:val="00A6748E"/>
    <w:rsid w:val="00A67633"/>
    <w:rsid w:val="00A70187"/>
    <w:rsid w:val="00A73B3F"/>
    <w:rsid w:val="00A74C4D"/>
    <w:rsid w:val="00A74F0D"/>
    <w:rsid w:val="00A77B72"/>
    <w:rsid w:val="00A8078B"/>
    <w:rsid w:val="00A83B75"/>
    <w:rsid w:val="00A84054"/>
    <w:rsid w:val="00A902F6"/>
    <w:rsid w:val="00A9040D"/>
    <w:rsid w:val="00A91322"/>
    <w:rsid w:val="00A91D11"/>
    <w:rsid w:val="00A92981"/>
    <w:rsid w:val="00A93775"/>
    <w:rsid w:val="00A93B12"/>
    <w:rsid w:val="00A9556D"/>
    <w:rsid w:val="00A97345"/>
    <w:rsid w:val="00A97BD5"/>
    <w:rsid w:val="00A97E6F"/>
    <w:rsid w:val="00AA11E9"/>
    <w:rsid w:val="00AA1D06"/>
    <w:rsid w:val="00AA3C09"/>
    <w:rsid w:val="00AA5F2F"/>
    <w:rsid w:val="00AA78F2"/>
    <w:rsid w:val="00AB20DF"/>
    <w:rsid w:val="00AB490D"/>
    <w:rsid w:val="00AB5A64"/>
    <w:rsid w:val="00AC3854"/>
    <w:rsid w:val="00AC4C50"/>
    <w:rsid w:val="00AC5820"/>
    <w:rsid w:val="00AC5845"/>
    <w:rsid w:val="00AC612D"/>
    <w:rsid w:val="00AC7A18"/>
    <w:rsid w:val="00AC7E09"/>
    <w:rsid w:val="00AD1B65"/>
    <w:rsid w:val="00AD22D4"/>
    <w:rsid w:val="00AD265B"/>
    <w:rsid w:val="00AD32A9"/>
    <w:rsid w:val="00AD6B82"/>
    <w:rsid w:val="00AD6E55"/>
    <w:rsid w:val="00AE026C"/>
    <w:rsid w:val="00AE095C"/>
    <w:rsid w:val="00AE14D4"/>
    <w:rsid w:val="00AE221E"/>
    <w:rsid w:val="00AE270D"/>
    <w:rsid w:val="00AE3E52"/>
    <w:rsid w:val="00AE41EC"/>
    <w:rsid w:val="00AE5C97"/>
    <w:rsid w:val="00AF240A"/>
    <w:rsid w:val="00AF2AC8"/>
    <w:rsid w:val="00AF2E26"/>
    <w:rsid w:val="00B02968"/>
    <w:rsid w:val="00B06996"/>
    <w:rsid w:val="00B070E3"/>
    <w:rsid w:val="00B12697"/>
    <w:rsid w:val="00B12F6F"/>
    <w:rsid w:val="00B143A9"/>
    <w:rsid w:val="00B1545C"/>
    <w:rsid w:val="00B1570B"/>
    <w:rsid w:val="00B15C99"/>
    <w:rsid w:val="00B15F15"/>
    <w:rsid w:val="00B17505"/>
    <w:rsid w:val="00B206DD"/>
    <w:rsid w:val="00B20D7A"/>
    <w:rsid w:val="00B244FC"/>
    <w:rsid w:val="00B25E91"/>
    <w:rsid w:val="00B305A6"/>
    <w:rsid w:val="00B3126F"/>
    <w:rsid w:val="00B32462"/>
    <w:rsid w:val="00B3336D"/>
    <w:rsid w:val="00B34D77"/>
    <w:rsid w:val="00B359FE"/>
    <w:rsid w:val="00B4177F"/>
    <w:rsid w:val="00B41CEF"/>
    <w:rsid w:val="00B427E3"/>
    <w:rsid w:val="00B43E41"/>
    <w:rsid w:val="00B469E6"/>
    <w:rsid w:val="00B50957"/>
    <w:rsid w:val="00B519BD"/>
    <w:rsid w:val="00B53A2B"/>
    <w:rsid w:val="00B54722"/>
    <w:rsid w:val="00B5513D"/>
    <w:rsid w:val="00B55293"/>
    <w:rsid w:val="00B56564"/>
    <w:rsid w:val="00B574D5"/>
    <w:rsid w:val="00B578A6"/>
    <w:rsid w:val="00B57961"/>
    <w:rsid w:val="00B60330"/>
    <w:rsid w:val="00B60F51"/>
    <w:rsid w:val="00B61513"/>
    <w:rsid w:val="00B62557"/>
    <w:rsid w:val="00B62B68"/>
    <w:rsid w:val="00B63CAF"/>
    <w:rsid w:val="00B645A9"/>
    <w:rsid w:val="00B71C3B"/>
    <w:rsid w:val="00B73E1A"/>
    <w:rsid w:val="00B74E09"/>
    <w:rsid w:val="00B808FA"/>
    <w:rsid w:val="00B83416"/>
    <w:rsid w:val="00B845AE"/>
    <w:rsid w:val="00B86DD1"/>
    <w:rsid w:val="00B92702"/>
    <w:rsid w:val="00B93D19"/>
    <w:rsid w:val="00B94B9D"/>
    <w:rsid w:val="00B94D41"/>
    <w:rsid w:val="00B96E79"/>
    <w:rsid w:val="00B97810"/>
    <w:rsid w:val="00BA0B48"/>
    <w:rsid w:val="00BA2364"/>
    <w:rsid w:val="00BA47D7"/>
    <w:rsid w:val="00BA5906"/>
    <w:rsid w:val="00BA677B"/>
    <w:rsid w:val="00BB084E"/>
    <w:rsid w:val="00BB0AE9"/>
    <w:rsid w:val="00BB5363"/>
    <w:rsid w:val="00BB5488"/>
    <w:rsid w:val="00BB63BA"/>
    <w:rsid w:val="00BB77A6"/>
    <w:rsid w:val="00BB7C69"/>
    <w:rsid w:val="00BC1158"/>
    <w:rsid w:val="00BC289F"/>
    <w:rsid w:val="00BC28CD"/>
    <w:rsid w:val="00BD01E3"/>
    <w:rsid w:val="00BD06AC"/>
    <w:rsid w:val="00BD3410"/>
    <w:rsid w:val="00BD4383"/>
    <w:rsid w:val="00BD4804"/>
    <w:rsid w:val="00BD54D6"/>
    <w:rsid w:val="00BD7491"/>
    <w:rsid w:val="00BE05EE"/>
    <w:rsid w:val="00BE6766"/>
    <w:rsid w:val="00BE76FC"/>
    <w:rsid w:val="00BF012B"/>
    <w:rsid w:val="00BF0396"/>
    <w:rsid w:val="00BF0460"/>
    <w:rsid w:val="00BF0AC4"/>
    <w:rsid w:val="00BF390D"/>
    <w:rsid w:val="00BF5D50"/>
    <w:rsid w:val="00C0226B"/>
    <w:rsid w:val="00C0420E"/>
    <w:rsid w:val="00C05543"/>
    <w:rsid w:val="00C05B6C"/>
    <w:rsid w:val="00C10C75"/>
    <w:rsid w:val="00C10E01"/>
    <w:rsid w:val="00C11EE6"/>
    <w:rsid w:val="00C1466E"/>
    <w:rsid w:val="00C17B52"/>
    <w:rsid w:val="00C20860"/>
    <w:rsid w:val="00C2406C"/>
    <w:rsid w:val="00C25B13"/>
    <w:rsid w:val="00C27FC1"/>
    <w:rsid w:val="00C32BBA"/>
    <w:rsid w:val="00C346C8"/>
    <w:rsid w:val="00C412BA"/>
    <w:rsid w:val="00C43BDB"/>
    <w:rsid w:val="00C465BA"/>
    <w:rsid w:val="00C513B1"/>
    <w:rsid w:val="00C5328D"/>
    <w:rsid w:val="00C5389B"/>
    <w:rsid w:val="00C539BD"/>
    <w:rsid w:val="00C56EE8"/>
    <w:rsid w:val="00C60590"/>
    <w:rsid w:val="00C63A81"/>
    <w:rsid w:val="00C649DE"/>
    <w:rsid w:val="00C666D4"/>
    <w:rsid w:val="00C7025F"/>
    <w:rsid w:val="00C71599"/>
    <w:rsid w:val="00C71D8B"/>
    <w:rsid w:val="00C7235A"/>
    <w:rsid w:val="00C72392"/>
    <w:rsid w:val="00C75340"/>
    <w:rsid w:val="00C82854"/>
    <w:rsid w:val="00C82E91"/>
    <w:rsid w:val="00C853E3"/>
    <w:rsid w:val="00C927FC"/>
    <w:rsid w:val="00C936EC"/>
    <w:rsid w:val="00C93E0A"/>
    <w:rsid w:val="00C949FF"/>
    <w:rsid w:val="00C94D4A"/>
    <w:rsid w:val="00CA015A"/>
    <w:rsid w:val="00CA0A58"/>
    <w:rsid w:val="00CA1573"/>
    <w:rsid w:val="00CA1AED"/>
    <w:rsid w:val="00CA1B1F"/>
    <w:rsid w:val="00CA217C"/>
    <w:rsid w:val="00CA2498"/>
    <w:rsid w:val="00CA29D5"/>
    <w:rsid w:val="00CA2A5E"/>
    <w:rsid w:val="00CA5A48"/>
    <w:rsid w:val="00CB1E6A"/>
    <w:rsid w:val="00CB37D3"/>
    <w:rsid w:val="00CB4331"/>
    <w:rsid w:val="00CB55EA"/>
    <w:rsid w:val="00CB6FF3"/>
    <w:rsid w:val="00CC0AA6"/>
    <w:rsid w:val="00CC39C6"/>
    <w:rsid w:val="00CC6383"/>
    <w:rsid w:val="00CD0894"/>
    <w:rsid w:val="00CD1817"/>
    <w:rsid w:val="00CD35C2"/>
    <w:rsid w:val="00CD36F1"/>
    <w:rsid w:val="00CD3C00"/>
    <w:rsid w:val="00CD456A"/>
    <w:rsid w:val="00CD69A1"/>
    <w:rsid w:val="00CD6A81"/>
    <w:rsid w:val="00CD6E99"/>
    <w:rsid w:val="00CE076A"/>
    <w:rsid w:val="00CE23AA"/>
    <w:rsid w:val="00CE36E6"/>
    <w:rsid w:val="00CE4173"/>
    <w:rsid w:val="00CE42EA"/>
    <w:rsid w:val="00CE5FDB"/>
    <w:rsid w:val="00CE6202"/>
    <w:rsid w:val="00CE6434"/>
    <w:rsid w:val="00CF06F3"/>
    <w:rsid w:val="00CF11E1"/>
    <w:rsid w:val="00CF2665"/>
    <w:rsid w:val="00CF27A2"/>
    <w:rsid w:val="00CF399C"/>
    <w:rsid w:val="00CF5062"/>
    <w:rsid w:val="00D00F6B"/>
    <w:rsid w:val="00D03B4E"/>
    <w:rsid w:val="00D0626E"/>
    <w:rsid w:val="00D1002C"/>
    <w:rsid w:val="00D151B0"/>
    <w:rsid w:val="00D1588C"/>
    <w:rsid w:val="00D166A0"/>
    <w:rsid w:val="00D22139"/>
    <w:rsid w:val="00D2458F"/>
    <w:rsid w:val="00D2599A"/>
    <w:rsid w:val="00D260ED"/>
    <w:rsid w:val="00D30922"/>
    <w:rsid w:val="00D3314E"/>
    <w:rsid w:val="00D368C9"/>
    <w:rsid w:val="00D373EE"/>
    <w:rsid w:val="00D37FD3"/>
    <w:rsid w:val="00D409AD"/>
    <w:rsid w:val="00D4204F"/>
    <w:rsid w:val="00D438F8"/>
    <w:rsid w:val="00D44358"/>
    <w:rsid w:val="00D4583E"/>
    <w:rsid w:val="00D511FA"/>
    <w:rsid w:val="00D525B0"/>
    <w:rsid w:val="00D5740C"/>
    <w:rsid w:val="00D57513"/>
    <w:rsid w:val="00D57C1B"/>
    <w:rsid w:val="00D57D5B"/>
    <w:rsid w:val="00D61F80"/>
    <w:rsid w:val="00D6295F"/>
    <w:rsid w:val="00D653A8"/>
    <w:rsid w:val="00D66768"/>
    <w:rsid w:val="00D73818"/>
    <w:rsid w:val="00D73FCF"/>
    <w:rsid w:val="00D755D8"/>
    <w:rsid w:val="00D7562A"/>
    <w:rsid w:val="00D771FD"/>
    <w:rsid w:val="00D8359D"/>
    <w:rsid w:val="00D835B4"/>
    <w:rsid w:val="00D84B99"/>
    <w:rsid w:val="00D85694"/>
    <w:rsid w:val="00D85954"/>
    <w:rsid w:val="00D85D5B"/>
    <w:rsid w:val="00D8714D"/>
    <w:rsid w:val="00D87AE9"/>
    <w:rsid w:val="00D87DC7"/>
    <w:rsid w:val="00D90326"/>
    <w:rsid w:val="00D907F4"/>
    <w:rsid w:val="00D93483"/>
    <w:rsid w:val="00D94DA0"/>
    <w:rsid w:val="00D95870"/>
    <w:rsid w:val="00DA161A"/>
    <w:rsid w:val="00DA19E2"/>
    <w:rsid w:val="00DA22F6"/>
    <w:rsid w:val="00DA254D"/>
    <w:rsid w:val="00DA448B"/>
    <w:rsid w:val="00DA4863"/>
    <w:rsid w:val="00DA4A6A"/>
    <w:rsid w:val="00DA5F0F"/>
    <w:rsid w:val="00DB3B44"/>
    <w:rsid w:val="00DB3DB5"/>
    <w:rsid w:val="00DB54F7"/>
    <w:rsid w:val="00DB761F"/>
    <w:rsid w:val="00DB7EB2"/>
    <w:rsid w:val="00DC1717"/>
    <w:rsid w:val="00DC3C99"/>
    <w:rsid w:val="00DC4311"/>
    <w:rsid w:val="00DC5035"/>
    <w:rsid w:val="00DC61AA"/>
    <w:rsid w:val="00DC6D10"/>
    <w:rsid w:val="00DC735E"/>
    <w:rsid w:val="00DC79D3"/>
    <w:rsid w:val="00DD019A"/>
    <w:rsid w:val="00DD035B"/>
    <w:rsid w:val="00DD142F"/>
    <w:rsid w:val="00DD23A5"/>
    <w:rsid w:val="00DD24EB"/>
    <w:rsid w:val="00DD2645"/>
    <w:rsid w:val="00DD600F"/>
    <w:rsid w:val="00DD771D"/>
    <w:rsid w:val="00DD7E3A"/>
    <w:rsid w:val="00DE4552"/>
    <w:rsid w:val="00DE5C06"/>
    <w:rsid w:val="00DE6012"/>
    <w:rsid w:val="00DE6064"/>
    <w:rsid w:val="00DF4921"/>
    <w:rsid w:val="00DF5985"/>
    <w:rsid w:val="00DF609D"/>
    <w:rsid w:val="00DF65D6"/>
    <w:rsid w:val="00DF700B"/>
    <w:rsid w:val="00DF771E"/>
    <w:rsid w:val="00DF7836"/>
    <w:rsid w:val="00E03C20"/>
    <w:rsid w:val="00E03F5D"/>
    <w:rsid w:val="00E04A56"/>
    <w:rsid w:val="00E10362"/>
    <w:rsid w:val="00E12820"/>
    <w:rsid w:val="00E12AB4"/>
    <w:rsid w:val="00E1302A"/>
    <w:rsid w:val="00E13C59"/>
    <w:rsid w:val="00E15CA2"/>
    <w:rsid w:val="00E17309"/>
    <w:rsid w:val="00E2205A"/>
    <w:rsid w:val="00E2258B"/>
    <w:rsid w:val="00E22D3C"/>
    <w:rsid w:val="00E26526"/>
    <w:rsid w:val="00E304C1"/>
    <w:rsid w:val="00E30A43"/>
    <w:rsid w:val="00E3367E"/>
    <w:rsid w:val="00E35330"/>
    <w:rsid w:val="00E35B11"/>
    <w:rsid w:val="00E36EF6"/>
    <w:rsid w:val="00E37C8E"/>
    <w:rsid w:val="00E4034A"/>
    <w:rsid w:val="00E405BD"/>
    <w:rsid w:val="00E40772"/>
    <w:rsid w:val="00E4255C"/>
    <w:rsid w:val="00E42F3E"/>
    <w:rsid w:val="00E46FB0"/>
    <w:rsid w:val="00E4764A"/>
    <w:rsid w:val="00E554B9"/>
    <w:rsid w:val="00E60AF5"/>
    <w:rsid w:val="00E61663"/>
    <w:rsid w:val="00E61A58"/>
    <w:rsid w:val="00E62DD0"/>
    <w:rsid w:val="00E63CC5"/>
    <w:rsid w:val="00E67DEA"/>
    <w:rsid w:val="00E718B2"/>
    <w:rsid w:val="00E813EA"/>
    <w:rsid w:val="00E83D86"/>
    <w:rsid w:val="00E90291"/>
    <w:rsid w:val="00E91254"/>
    <w:rsid w:val="00E93161"/>
    <w:rsid w:val="00E93C3A"/>
    <w:rsid w:val="00E941BB"/>
    <w:rsid w:val="00E953D1"/>
    <w:rsid w:val="00E9636C"/>
    <w:rsid w:val="00EA253B"/>
    <w:rsid w:val="00EA4A65"/>
    <w:rsid w:val="00EA4BD7"/>
    <w:rsid w:val="00EA4F03"/>
    <w:rsid w:val="00EB0BE7"/>
    <w:rsid w:val="00EB240A"/>
    <w:rsid w:val="00EB4DF3"/>
    <w:rsid w:val="00EB74EE"/>
    <w:rsid w:val="00EC089A"/>
    <w:rsid w:val="00EC3660"/>
    <w:rsid w:val="00EC386A"/>
    <w:rsid w:val="00EC43A6"/>
    <w:rsid w:val="00EC4733"/>
    <w:rsid w:val="00EC4DD9"/>
    <w:rsid w:val="00EC4F4F"/>
    <w:rsid w:val="00EC5F19"/>
    <w:rsid w:val="00ED1174"/>
    <w:rsid w:val="00ED1661"/>
    <w:rsid w:val="00ED294A"/>
    <w:rsid w:val="00ED2CDD"/>
    <w:rsid w:val="00ED2FDA"/>
    <w:rsid w:val="00ED4959"/>
    <w:rsid w:val="00ED50D0"/>
    <w:rsid w:val="00ED52DA"/>
    <w:rsid w:val="00ED5796"/>
    <w:rsid w:val="00ED70CE"/>
    <w:rsid w:val="00ED72FE"/>
    <w:rsid w:val="00EE22DC"/>
    <w:rsid w:val="00EE39A9"/>
    <w:rsid w:val="00EE5644"/>
    <w:rsid w:val="00EF53B5"/>
    <w:rsid w:val="00EF572F"/>
    <w:rsid w:val="00EF6CEE"/>
    <w:rsid w:val="00F02EB6"/>
    <w:rsid w:val="00F037C8"/>
    <w:rsid w:val="00F05616"/>
    <w:rsid w:val="00F06F56"/>
    <w:rsid w:val="00F06FB3"/>
    <w:rsid w:val="00F1019C"/>
    <w:rsid w:val="00F130A9"/>
    <w:rsid w:val="00F1359D"/>
    <w:rsid w:val="00F13EF9"/>
    <w:rsid w:val="00F1410A"/>
    <w:rsid w:val="00F17E9B"/>
    <w:rsid w:val="00F25E26"/>
    <w:rsid w:val="00F2646A"/>
    <w:rsid w:val="00F26542"/>
    <w:rsid w:val="00F27C36"/>
    <w:rsid w:val="00F30AB1"/>
    <w:rsid w:val="00F34976"/>
    <w:rsid w:val="00F37582"/>
    <w:rsid w:val="00F37F57"/>
    <w:rsid w:val="00F42474"/>
    <w:rsid w:val="00F43C8B"/>
    <w:rsid w:val="00F47873"/>
    <w:rsid w:val="00F52C37"/>
    <w:rsid w:val="00F555CA"/>
    <w:rsid w:val="00F5724E"/>
    <w:rsid w:val="00F57B24"/>
    <w:rsid w:val="00F57C75"/>
    <w:rsid w:val="00F60258"/>
    <w:rsid w:val="00F61951"/>
    <w:rsid w:val="00F62009"/>
    <w:rsid w:val="00F65654"/>
    <w:rsid w:val="00F67FB4"/>
    <w:rsid w:val="00F718B7"/>
    <w:rsid w:val="00F73ED7"/>
    <w:rsid w:val="00F74BE4"/>
    <w:rsid w:val="00F80AB5"/>
    <w:rsid w:val="00F81288"/>
    <w:rsid w:val="00F8219D"/>
    <w:rsid w:val="00F82FE5"/>
    <w:rsid w:val="00F83458"/>
    <w:rsid w:val="00F84BDF"/>
    <w:rsid w:val="00F84E34"/>
    <w:rsid w:val="00F86345"/>
    <w:rsid w:val="00F92026"/>
    <w:rsid w:val="00F92586"/>
    <w:rsid w:val="00F954D0"/>
    <w:rsid w:val="00FA13DB"/>
    <w:rsid w:val="00FA14CE"/>
    <w:rsid w:val="00FA1E6C"/>
    <w:rsid w:val="00FA420C"/>
    <w:rsid w:val="00FA49A2"/>
    <w:rsid w:val="00FA6245"/>
    <w:rsid w:val="00FA75DB"/>
    <w:rsid w:val="00FB08D5"/>
    <w:rsid w:val="00FB3654"/>
    <w:rsid w:val="00FB3E99"/>
    <w:rsid w:val="00FB6238"/>
    <w:rsid w:val="00FC0B65"/>
    <w:rsid w:val="00FC48F9"/>
    <w:rsid w:val="00FC79D4"/>
    <w:rsid w:val="00FD06B4"/>
    <w:rsid w:val="00FD1B5F"/>
    <w:rsid w:val="00FD34D0"/>
    <w:rsid w:val="00FD5334"/>
    <w:rsid w:val="00FD6E68"/>
    <w:rsid w:val="00FE05C8"/>
    <w:rsid w:val="00FE1C6F"/>
    <w:rsid w:val="00FE2B0A"/>
    <w:rsid w:val="00FE2E4D"/>
    <w:rsid w:val="00FE5413"/>
    <w:rsid w:val="00FF0692"/>
    <w:rsid w:val="00FF1707"/>
    <w:rsid w:val="00FF1ABE"/>
    <w:rsid w:val="00FF1CE9"/>
    <w:rsid w:val="00FF216D"/>
    <w:rsid w:val="00FF3441"/>
    <w:rsid w:val="00FF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3594C"/>
  <w15:docId w15:val="{EAE08C35-D066-435E-98BA-7024EC7A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5433"/>
    <w:rPr>
      <w:rFonts w:asciiTheme="minorHAnsi" w:hAnsiTheme="minorHAnsi"/>
      <w:spacing w:val="-5"/>
      <w:lang w:val="en-GB"/>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link w:val="HeaderChar"/>
    <w:uiPriority w:val="99"/>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tabs>
        <w:tab w:val="num" w:pos="360"/>
      </w:tabs>
      <w:ind w:left="1555" w:hanging="360"/>
    </w:pPr>
  </w:style>
  <w:style w:type="paragraph" w:styleId="ListNumber2">
    <w:name w:val="List Number 2"/>
    <w:basedOn w:val="Normal"/>
    <w:semiHidden/>
    <w:rsid w:val="00E37C8E"/>
    <w:pPr>
      <w:tabs>
        <w:tab w:val="num" w:pos="720"/>
      </w:tabs>
      <w:ind w:left="1555" w:hanging="360"/>
    </w:pPr>
  </w:style>
  <w:style w:type="paragraph" w:styleId="ListNumber3">
    <w:name w:val="List Number 3"/>
    <w:basedOn w:val="Normal"/>
    <w:semiHidden/>
    <w:rsid w:val="00E37C8E"/>
    <w:pPr>
      <w:tabs>
        <w:tab w:val="num" w:pos="1080"/>
      </w:tabs>
      <w:ind w:left="1915" w:hanging="360"/>
    </w:pPr>
  </w:style>
  <w:style w:type="paragraph" w:styleId="ListNumber4">
    <w:name w:val="List Number 4"/>
    <w:basedOn w:val="Normal"/>
    <w:semiHidden/>
    <w:rsid w:val="00E37C8E"/>
    <w:pPr>
      <w:tabs>
        <w:tab w:val="num" w:pos="1440"/>
      </w:tabs>
      <w:ind w:left="2275" w:hanging="360"/>
    </w:pPr>
  </w:style>
  <w:style w:type="paragraph" w:styleId="ListNumber5">
    <w:name w:val="List Number 5"/>
    <w:basedOn w:val="Normal"/>
    <w:semiHidden/>
    <w:rsid w:val="00E37C8E"/>
    <w:pPr>
      <w:tabs>
        <w:tab w:val="num" w:pos="1800"/>
      </w:tabs>
      <w:ind w:left="2635" w:hanging="360"/>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table" w:styleId="TableClassic2">
    <w:name w:val="Table Classic 2"/>
    <w:basedOn w:val="TableNormal"/>
    <w:rsid w:val="00444C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ghtShading-Accent2">
    <w:name w:val="Light Shading Accent 2"/>
    <w:basedOn w:val="TableNormal"/>
    <w:uiPriority w:val="60"/>
    <w:rsid w:val="00444C2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Contemporary">
    <w:name w:val="Table Contemporary"/>
    <w:basedOn w:val="TableNormal"/>
    <w:rsid w:val="00444C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unhideWhenUsed/>
    <w:rsid w:val="00A211F3"/>
    <w:rPr>
      <w:color w:val="0000FF"/>
      <w:u w:val="single"/>
    </w:rPr>
  </w:style>
  <w:style w:type="table" w:styleId="LightList-Accent2">
    <w:name w:val="Light List Accent 2"/>
    <w:basedOn w:val="TableNormal"/>
    <w:uiPriority w:val="61"/>
    <w:rsid w:val="009F21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single" w:sz="2" w:space="0" w:color="E5B8B7" w:themeColor="accent2" w:themeTint="66"/>
          <w:left w:val="single" w:sz="2" w:space="0" w:color="E5B8B7" w:themeColor="accent2" w:themeTint="66"/>
          <w:bottom w:val="single" w:sz="2" w:space="0" w:color="E5B8B7" w:themeColor="accent2" w:themeTint="66"/>
          <w:right w:val="single" w:sz="2" w:space="0" w:color="E5B8B7" w:themeColor="accent2" w:themeTint="66"/>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odyText3">
    <w:name w:val="Body Text 3"/>
    <w:basedOn w:val="Normal"/>
    <w:link w:val="BodyText3Char"/>
    <w:unhideWhenUsed/>
    <w:rsid w:val="00663BC3"/>
    <w:pPr>
      <w:spacing w:after="120"/>
    </w:pPr>
    <w:rPr>
      <w:sz w:val="16"/>
      <w:szCs w:val="16"/>
    </w:rPr>
  </w:style>
  <w:style w:type="character" w:customStyle="1" w:styleId="BodyText3Char">
    <w:name w:val="Body Text 3 Char"/>
    <w:basedOn w:val="DefaultParagraphFont"/>
    <w:link w:val="BodyText3"/>
    <w:rsid w:val="00663BC3"/>
    <w:rPr>
      <w:rFonts w:asciiTheme="minorHAnsi" w:hAnsiTheme="minorHAnsi"/>
      <w:spacing w:val="-5"/>
      <w:sz w:val="16"/>
      <w:szCs w:val="16"/>
    </w:rPr>
  </w:style>
  <w:style w:type="paragraph" w:styleId="BodyText2">
    <w:name w:val="Body Text 2"/>
    <w:basedOn w:val="Normal"/>
    <w:link w:val="BodyText2Char"/>
    <w:unhideWhenUsed/>
    <w:rsid w:val="00663BC3"/>
    <w:pPr>
      <w:spacing w:after="120" w:line="480" w:lineRule="auto"/>
    </w:pPr>
  </w:style>
  <w:style w:type="character" w:customStyle="1" w:styleId="BodyText2Char">
    <w:name w:val="Body Text 2 Char"/>
    <w:basedOn w:val="DefaultParagraphFont"/>
    <w:link w:val="BodyText2"/>
    <w:rsid w:val="00663BC3"/>
    <w:rPr>
      <w:rFonts w:asciiTheme="minorHAnsi" w:hAnsiTheme="minorHAnsi"/>
      <w:spacing w:val="-5"/>
    </w:rPr>
  </w:style>
  <w:style w:type="paragraph" w:styleId="BodyTextIndent2">
    <w:name w:val="Body Text Indent 2"/>
    <w:basedOn w:val="Normal"/>
    <w:link w:val="BodyTextIndent2Char"/>
    <w:unhideWhenUsed/>
    <w:rsid w:val="006B2102"/>
    <w:pPr>
      <w:spacing w:after="120" w:line="480" w:lineRule="auto"/>
      <w:ind w:left="360"/>
    </w:pPr>
  </w:style>
  <w:style w:type="character" w:customStyle="1" w:styleId="BodyTextIndent2Char">
    <w:name w:val="Body Text Indent 2 Char"/>
    <w:basedOn w:val="DefaultParagraphFont"/>
    <w:link w:val="BodyTextIndent2"/>
    <w:rsid w:val="006B2102"/>
    <w:rPr>
      <w:rFonts w:asciiTheme="minorHAnsi" w:hAnsiTheme="minorHAnsi"/>
      <w:spacing w:val="-5"/>
    </w:rPr>
  </w:style>
  <w:style w:type="character" w:customStyle="1" w:styleId="HeaderChar">
    <w:name w:val="Header Char"/>
    <w:basedOn w:val="DefaultParagraphFont"/>
    <w:link w:val="Header"/>
    <w:uiPriority w:val="99"/>
    <w:rsid w:val="003A3607"/>
    <w:rPr>
      <w:rFonts w:asciiTheme="minorHAnsi" w:hAnsiTheme="minorHAnsi"/>
      <w:spacing w:val="-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8414">
      <w:bodyDiv w:val="1"/>
      <w:marLeft w:val="0"/>
      <w:marRight w:val="0"/>
      <w:marTop w:val="0"/>
      <w:marBottom w:val="0"/>
      <w:divBdr>
        <w:top w:val="none" w:sz="0" w:space="0" w:color="auto"/>
        <w:left w:val="none" w:sz="0" w:space="0" w:color="auto"/>
        <w:bottom w:val="none" w:sz="0" w:space="0" w:color="auto"/>
        <w:right w:val="none" w:sz="0" w:space="0" w:color="auto"/>
      </w:divBdr>
    </w:div>
    <w:div w:id="84348746">
      <w:bodyDiv w:val="1"/>
      <w:marLeft w:val="0"/>
      <w:marRight w:val="0"/>
      <w:marTop w:val="0"/>
      <w:marBottom w:val="0"/>
      <w:divBdr>
        <w:top w:val="none" w:sz="0" w:space="0" w:color="auto"/>
        <w:left w:val="none" w:sz="0" w:space="0" w:color="auto"/>
        <w:bottom w:val="none" w:sz="0" w:space="0" w:color="auto"/>
        <w:right w:val="none" w:sz="0" w:space="0" w:color="auto"/>
      </w:divBdr>
    </w:div>
    <w:div w:id="107433469">
      <w:bodyDiv w:val="1"/>
      <w:marLeft w:val="0"/>
      <w:marRight w:val="0"/>
      <w:marTop w:val="0"/>
      <w:marBottom w:val="0"/>
      <w:divBdr>
        <w:top w:val="none" w:sz="0" w:space="0" w:color="auto"/>
        <w:left w:val="none" w:sz="0" w:space="0" w:color="auto"/>
        <w:bottom w:val="none" w:sz="0" w:space="0" w:color="auto"/>
        <w:right w:val="none" w:sz="0" w:space="0" w:color="auto"/>
      </w:divBdr>
    </w:div>
    <w:div w:id="114955528">
      <w:bodyDiv w:val="1"/>
      <w:marLeft w:val="0"/>
      <w:marRight w:val="0"/>
      <w:marTop w:val="0"/>
      <w:marBottom w:val="0"/>
      <w:divBdr>
        <w:top w:val="none" w:sz="0" w:space="0" w:color="auto"/>
        <w:left w:val="none" w:sz="0" w:space="0" w:color="auto"/>
        <w:bottom w:val="none" w:sz="0" w:space="0" w:color="auto"/>
        <w:right w:val="none" w:sz="0" w:space="0" w:color="auto"/>
      </w:divBdr>
    </w:div>
    <w:div w:id="155726644">
      <w:bodyDiv w:val="1"/>
      <w:marLeft w:val="0"/>
      <w:marRight w:val="0"/>
      <w:marTop w:val="0"/>
      <w:marBottom w:val="0"/>
      <w:divBdr>
        <w:top w:val="none" w:sz="0" w:space="0" w:color="auto"/>
        <w:left w:val="none" w:sz="0" w:space="0" w:color="auto"/>
        <w:bottom w:val="none" w:sz="0" w:space="0" w:color="auto"/>
        <w:right w:val="none" w:sz="0" w:space="0" w:color="auto"/>
      </w:divBdr>
    </w:div>
    <w:div w:id="237054112">
      <w:bodyDiv w:val="1"/>
      <w:marLeft w:val="0"/>
      <w:marRight w:val="0"/>
      <w:marTop w:val="0"/>
      <w:marBottom w:val="0"/>
      <w:divBdr>
        <w:top w:val="none" w:sz="0" w:space="0" w:color="auto"/>
        <w:left w:val="none" w:sz="0" w:space="0" w:color="auto"/>
        <w:bottom w:val="none" w:sz="0" w:space="0" w:color="auto"/>
        <w:right w:val="none" w:sz="0" w:space="0" w:color="auto"/>
      </w:divBdr>
    </w:div>
    <w:div w:id="247037204">
      <w:bodyDiv w:val="1"/>
      <w:marLeft w:val="0"/>
      <w:marRight w:val="0"/>
      <w:marTop w:val="0"/>
      <w:marBottom w:val="0"/>
      <w:divBdr>
        <w:top w:val="none" w:sz="0" w:space="0" w:color="auto"/>
        <w:left w:val="none" w:sz="0" w:space="0" w:color="auto"/>
        <w:bottom w:val="none" w:sz="0" w:space="0" w:color="auto"/>
        <w:right w:val="none" w:sz="0" w:space="0" w:color="auto"/>
      </w:divBdr>
    </w:div>
    <w:div w:id="281619511">
      <w:bodyDiv w:val="1"/>
      <w:marLeft w:val="0"/>
      <w:marRight w:val="0"/>
      <w:marTop w:val="0"/>
      <w:marBottom w:val="0"/>
      <w:divBdr>
        <w:top w:val="none" w:sz="0" w:space="0" w:color="auto"/>
        <w:left w:val="none" w:sz="0" w:space="0" w:color="auto"/>
        <w:bottom w:val="none" w:sz="0" w:space="0" w:color="auto"/>
        <w:right w:val="none" w:sz="0" w:space="0" w:color="auto"/>
      </w:divBdr>
    </w:div>
    <w:div w:id="287663294">
      <w:bodyDiv w:val="1"/>
      <w:marLeft w:val="0"/>
      <w:marRight w:val="0"/>
      <w:marTop w:val="0"/>
      <w:marBottom w:val="0"/>
      <w:divBdr>
        <w:top w:val="none" w:sz="0" w:space="0" w:color="auto"/>
        <w:left w:val="none" w:sz="0" w:space="0" w:color="auto"/>
        <w:bottom w:val="none" w:sz="0" w:space="0" w:color="auto"/>
        <w:right w:val="none" w:sz="0" w:space="0" w:color="auto"/>
      </w:divBdr>
    </w:div>
    <w:div w:id="322004750">
      <w:bodyDiv w:val="1"/>
      <w:marLeft w:val="0"/>
      <w:marRight w:val="0"/>
      <w:marTop w:val="0"/>
      <w:marBottom w:val="0"/>
      <w:divBdr>
        <w:top w:val="none" w:sz="0" w:space="0" w:color="auto"/>
        <w:left w:val="none" w:sz="0" w:space="0" w:color="auto"/>
        <w:bottom w:val="none" w:sz="0" w:space="0" w:color="auto"/>
        <w:right w:val="none" w:sz="0" w:space="0" w:color="auto"/>
      </w:divBdr>
    </w:div>
    <w:div w:id="513769320">
      <w:bodyDiv w:val="1"/>
      <w:marLeft w:val="0"/>
      <w:marRight w:val="0"/>
      <w:marTop w:val="0"/>
      <w:marBottom w:val="0"/>
      <w:divBdr>
        <w:top w:val="none" w:sz="0" w:space="0" w:color="auto"/>
        <w:left w:val="none" w:sz="0" w:space="0" w:color="auto"/>
        <w:bottom w:val="none" w:sz="0" w:space="0" w:color="auto"/>
        <w:right w:val="none" w:sz="0" w:space="0" w:color="auto"/>
      </w:divBdr>
    </w:div>
    <w:div w:id="523976717">
      <w:bodyDiv w:val="1"/>
      <w:marLeft w:val="0"/>
      <w:marRight w:val="0"/>
      <w:marTop w:val="0"/>
      <w:marBottom w:val="0"/>
      <w:divBdr>
        <w:top w:val="none" w:sz="0" w:space="0" w:color="auto"/>
        <w:left w:val="none" w:sz="0" w:space="0" w:color="auto"/>
        <w:bottom w:val="none" w:sz="0" w:space="0" w:color="auto"/>
        <w:right w:val="none" w:sz="0" w:space="0" w:color="auto"/>
      </w:divBdr>
    </w:div>
    <w:div w:id="555942404">
      <w:bodyDiv w:val="1"/>
      <w:marLeft w:val="0"/>
      <w:marRight w:val="0"/>
      <w:marTop w:val="0"/>
      <w:marBottom w:val="0"/>
      <w:divBdr>
        <w:top w:val="none" w:sz="0" w:space="0" w:color="auto"/>
        <w:left w:val="none" w:sz="0" w:space="0" w:color="auto"/>
        <w:bottom w:val="none" w:sz="0" w:space="0" w:color="auto"/>
        <w:right w:val="none" w:sz="0" w:space="0" w:color="auto"/>
      </w:divBdr>
    </w:div>
    <w:div w:id="563181180">
      <w:bodyDiv w:val="1"/>
      <w:marLeft w:val="0"/>
      <w:marRight w:val="0"/>
      <w:marTop w:val="0"/>
      <w:marBottom w:val="0"/>
      <w:divBdr>
        <w:top w:val="none" w:sz="0" w:space="0" w:color="auto"/>
        <w:left w:val="none" w:sz="0" w:space="0" w:color="auto"/>
        <w:bottom w:val="none" w:sz="0" w:space="0" w:color="auto"/>
        <w:right w:val="none" w:sz="0" w:space="0" w:color="auto"/>
      </w:divBdr>
    </w:div>
    <w:div w:id="577788135">
      <w:bodyDiv w:val="1"/>
      <w:marLeft w:val="0"/>
      <w:marRight w:val="0"/>
      <w:marTop w:val="0"/>
      <w:marBottom w:val="0"/>
      <w:divBdr>
        <w:top w:val="none" w:sz="0" w:space="0" w:color="auto"/>
        <w:left w:val="none" w:sz="0" w:space="0" w:color="auto"/>
        <w:bottom w:val="none" w:sz="0" w:space="0" w:color="auto"/>
        <w:right w:val="none" w:sz="0" w:space="0" w:color="auto"/>
      </w:divBdr>
    </w:div>
    <w:div w:id="602344471">
      <w:bodyDiv w:val="1"/>
      <w:marLeft w:val="0"/>
      <w:marRight w:val="0"/>
      <w:marTop w:val="0"/>
      <w:marBottom w:val="0"/>
      <w:divBdr>
        <w:top w:val="none" w:sz="0" w:space="0" w:color="auto"/>
        <w:left w:val="none" w:sz="0" w:space="0" w:color="auto"/>
        <w:bottom w:val="none" w:sz="0" w:space="0" w:color="auto"/>
        <w:right w:val="none" w:sz="0" w:space="0" w:color="auto"/>
      </w:divBdr>
    </w:div>
    <w:div w:id="680938123">
      <w:bodyDiv w:val="1"/>
      <w:marLeft w:val="0"/>
      <w:marRight w:val="0"/>
      <w:marTop w:val="0"/>
      <w:marBottom w:val="0"/>
      <w:divBdr>
        <w:top w:val="none" w:sz="0" w:space="0" w:color="auto"/>
        <w:left w:val="none" w:sz="0" w:space="0" w:color="auto"/>
        <w:bottom w:val="none" w:sz="0" w:space="0" w:color="auto"/>
        <w:right w:val="none" w:sz="0" w:space="0" w:color="auto"/>
      </w:divBdr>
    </w:div>
    <w:div w:id="762844029">
      <w:bodyDiv w:val="1"/>
      <w:marLeft w:val="0"/>
      <w:marRight w:val="0"/>
      <w:marTop w:val="0"/>
      <w:marBottom w:val="0"/>
      <w:divBdr>
        <w:top w:val="none" w:sz="0" w:space="0" w:color="auto"/>
        <w:left w:val="none" w:sz="0" w:space="0" w:color="auto"/>
        <w:bottom w:val="none" w:sz="0" w:space="0" w:color="auto"/>
        <w:right w:val="none" w:sz="0" w:space="0" w:color="auto"/>
      </w:divBdr>
    </w:div>
    <w:div w:id="832062101">
      <w:bodyDiv w:val="1"/>
      <w:marLeft w:val="0"/>
      <w:marRight w:val="0"/>
      <w:marTop w:val="0"/>
      <w:marBottom w:val="0"/>
      <w:divBdr>
        <w:top w:val="none" w:sz="0" w:space="0" w:color="auto"/>
        <w:left w:val="none" w:sz="0" w:space="0" w:color="auto"/>
        <w:bottom w:val="none" w:sz="0" w:space="0" w:color="auto"/>
        <w:right w:val="none" w:sz="0" w:space="0" w:color="auto"/>
      </w:divBdr>
    </w:div>
    <w:div w:id="959603716">
      <w:bodyDiv w:val="1"/>
      <w:marLeft w:val="0"/>
      <w:marRight w:val="0"/>
      <w:marTop w:val="0"/>
      <w:marBottom w:val="0"/>
      <w:divBdr>
        <w:top w:val="none" w:sz="0" w:space="0" w:color="auto"/>
        <w:left w:val="none" w:sz="0" w:space="0" w:color="auto"/>
        <w:bottom w:val="none" w:sz="0" w:space="0" w:color="auto"/>
        <w:right w:val="none" w:sz="0" w:space="0" w:color="auto"/>
      </w:divBdr>
    </w:div>
    <w:div w:id="980885404">
      <w:bodyDiv w:val="1"/>
      <w:marLeft w:val="0"/>
      <w:marRight w:val="0"/>
      <w:marTop w:val="0"/>
      <w:marBottom w:val="0"/>
      <w:divBdr>
        <w:top w:val="none" w:sz="0" w:space="0" w:color="auto"/>
        <w:left w:val="none" w:sz="0" w:space="0" w:color="auto"/>
        <w:bottom w:val="none" w:sz="0" w:space="0" w:color="auto"/>
        <w:right w:val="none" w:sz="0" w:space="0" w:color="auto"/>
      </w:divBdr>
    </w:div>
    <w:div w:id="998851216">
      <w:bodyDiv w:val="1"/>
      <w:marLeft w:val="0"/>
      <w:marRight w:val="0"/>
      <w:marTop w:val="0"/>
      <w:marBottom w:val="0"/>
      <w:divBdr>
        <w:top w:val="none" w:sz="0" w:space="0" w:color="auto"/>
        <w:left w:val="none" w:sz="0" w:space="0" w:color="auto"/>
        <w:bottom w:val="none" w:sz="0" w:space="0" w:color="auto"/>
        <w:right w:val="none" w:sz="0" w:space="0" w:color="auto"/>
      </w:divBdr>
    </w:div>
    <w:div w:id="1068572807">
      <w:bodyDiv w:val="1"/>
      <w:marLeft w:val="0"/>
      <w:marRight w:val="0"/>
      <w:marTop w:val="0"/>
      <w:marBottom w:val="0"/>
      <w:divBdr>
        <w:top w:val="none" w:sz="0" w:space="0" w:color="auto"/>
        <w:left w:val="none" w:sz="0" w:space="0" w:color="auto"/>
        <w:bottom w:val="none" w:sz="0" w:space="0" w:color="auto"/>
        <w:right w:val="none" w:sz="0" w:space="0" w:color="auto"/>
      </w:divBdr>
    </w:div>
    <w:div w:id="1159080580">
      <w:bodyDiv w:val="1"/>
      <w:marLeft w:val="0"/>
      <w:marRight w:val="0"/>
      <w:marTop w:val="0"/>
      <w:marBottom w:val="0"/>
      <w:divBdr>
        <w:top w:val="none" w:sz="0" w:space="0" w:color="auto"/>
        <w:left w:val="none" w:sz="0" w:space="0" w:color="auto"/>
        <w:bottom w:val="none" w:sz="0" w:space="0" w:color="auto"/>
        <w:right w:val="none" w:sz="0" w:space="0" w:color="auto"/>
      </w:divBdr>
    </w:div>
    <w:div w:id="1249073847">
      <w:bodyDiv w:val="1"/>
      <w:marLeft w:val="0"/>
      <w:marRight w:val="0"/>
      <w:marTop w:val="0"/>
      <w:marBottom w:val="0"/>
      <w:divBdr>
        <w:top w:val="none" w:sz="0" w:space="0" w:color="auto"/>
        <w:left w:val="none" w:sz="0" w:space="0" w:color="auto"/>
        <w:bottom w:val="none" w:sz="0" w:space="0" w:color="auto"/>
        <w:right w:val="none" w:sz="0" w:space="0" w:color="auto"/>
      </w:divBdr>
    </w:div>
    <w:div w:id="1275014947">
      <w:bodyDiv w:val="1"/>
      <w:marLeft w:val="0"/>
      <w:marRight w:val="0"/>
      <w:marTop w:val="0"/>
      <w:marBottom w:val="0"/>
      <w:divBdr>
        <w:top w:val="none" w:sz="0" w:space="0" w:color="auto"/>
        <w:left w:val="none" w:sz="0" w:space="0" w:color="auto"/>
        <w:bottom w:val="none" w:sz="0" w:space="0" w:color="auto"/>
        <w:right w:val="none" w:sz="0" w:space="0" w:color="auto"/>
      </w:divBdr>
    </w:div>
    <w:div w:id="1280841573">
      <w:bodyDiv w:val="1"/>
      <w:marLeft w:val="0"/>
      <w:marRight w:val="0"/>
      <w:marTop w:val="0"/>
      <w:marBottom w:val="0"/>
      <w:divBdr>
        <w:top w:val="none" w:sz="0" w:space="0" w:color="auto"/>
        <w:left w:val="none" w:sz="0" w:space="0" w:color="auto"/>
        <w:bottom w:val="none" w:sz="0" w:space="0" w:color="auto"/>
        <w:right w:val="none" w:sz="0" w:space="0" w:color="auto"/>
      </w:divBdr>
    </w:div>
    <w:div w:id="1296250459">
      <w:bodyDiv w:val="1"/>
      <w:marLeft w:val="0"/>
      <w:marRight w:val="0"/>
      <w:marTop w:val="0"/>
      <w:marBottom w:val="0"/>
      <w:divBdr>
        <w:top w:val="none" w:sz="0" w:space="0" w:color="auto"/>
        <w:left w:val="none" w:sz="0" w:space="0" w:color="auto"/>
        <w:bottom w:val="none" w:sz="0" w:space="0" w:color="auto"/>
        <w:right w:val="none" w:sz="0" w:space="0" w:color="auto"/>
      </w:divBdr>
    </w:div>
    <w:div w:id="1322611975">
      <w:bodyDiv w:val="1"/>
      <w:marLeft w:val="0"/>
      <w:marRight w:val="0"/>
      <w:marTop w:val="0"/>
      <w:marBottom w:val="0"/>
      <w:divBdr>
        <w:top w:val="none" w:sz="0" w:space="0" w:color="auto"/>
        <w:left w:val="none" w:sz="0" w:space="0" w:color="auto"/>
        <w:bottom w:val="none" w:sz="0" w:space="0" w:color="auto"/>
        <w:right w:val="none" w:sz="0" w:space="0" w:color="auto"/>
      </w:divBdr>
    </w:div>
    <w:div w:id="1332025491">
      <w:bodyDiv w:val="1"/>
      <w:marLeft w:val="0"/>
      <w:marRight w:val="0"/>
      <w:marTop w:val="0"/>
      <w:marBottom w:val="0"/>
      <w:divBdr>
        <w:top w:val="none" w:sz="0" w:space="0" w:color="auto"/>
        <w:left w:val="none" w:sz="0" w:space="0" w:color="auto"/>
        <w:bottom w:val="none" w:sz="0" w:space="0" w:color="auto"/>
        <w:right w:val="none" w:sz="0" w:space="0" w:color="auto"/>
      </w:divBdr>
    </w:div>
    <w:div w:id="1383822365">
      <w:bodyDiv w:val="1"/>
      <w:marLeft w:val="0"/>
      <w:marRight w:val="0"/>
      <w:marTop w:val="0"/>
      <w:marBottom w:val="0"/>
      <w:divBdr>
        <w:top w:val="none" w:sz="0" w:space="0" w:color="auto"/>
        <w:left w:val="none" w:sz="0" w:space="0" w:color="auto"/>
        <w:bottom w:val="none" w:sz="0" w:space="0" w:color="auto"/>
        <w:right w:val="none" w:sz="0" w:space="0" w:color="auto"/>
      </w:divBdr>
    </w:div>
    <w:div w:id="1414206039">
      <w:bodyDiv w:val="1"/>
      <w:marLeft w:val="0"/>
      <w:marRight w:val="0"/>
      <w:marTop w:val="0"/>
      <w:marBottom w:val="0"/>
      <w:divBdr>
        <w:top w:val="none" w:sz="0" w:space="0" w:color="auto"/>
        <w:left w:val="none" w:sz="0" w:space="0" w:color="auto"/>
        <w:bottom w:val="none" w:sz="0" w:space="0" w:color="auto"/>
        <w:right w:val="none" w:sz="0" w:space="0" w:color="auto"/>
      </w:divBdr>
    </w:div>
    <w:div w:id="1463307276">
      <w:bodyDiv w:val="1"/>
      <w:marLeft w:val="0"/>
      <w:marRight w:val="0"/>
      <w:marTop w:val="0"/>
      <w:marBottom w:val="0"/>
      <w:divBdr>
        <w:top w:val="none" w:sz="0" w:space="0" w:color="auto"/>
        <w:left w:val="none" w:sz="0" w:space="0" w:color="auto"/>
        <w:bottom w:val="none" w:sz="0" w:space="0" w:color="auto"/>
        <w:right w:val="none" w:sz="0" w:space="0" w:color="auto"/>
      </w:divBdr>
    </w:div>
    <w:div w:id="1479034211">
      <w:bodyDiv w:val="1"/>
      <w:marLeft w:val="0"/>
      <w:marRight w:val="0"/>
      <w:marTop w:val="0"/>
      <w:marBottom w:val="0"/>
      <w:divBdr>
        <w:top w:val="none" w:sz="0" w:space="0" w:color="auto"/>
        <w:left w:val="none" w:sz="0" w:space="0" w:color="auto"/>
        <w:bottom w:val="none" w:sz="0" w:space="0" w:color="auto"/>
        <w:right w:val="none" w:sz="0" w:space="0" w:color="auto"/>
      </w:divBdr>
    </w:div>
    <w:div w:id="1512261809">
      <w:bodyDiv w:val="1"/>
      <w:marLeft w:val="0"/>
      <w:marRight w:val="0"/>
      <w:marTop w:val="0"/>
      <w:marBottom w:val="0"/>
      <w:divBdr>
        <w:top w:val="none" w:sz="0" w:space="0" w:color="auto"/>
        <w:left w:val="none" w:sz="0" w:space="0" w:color="auto"/>
        <w:bottom w:val="none" w:sz="0" w:space="0" w:color="auto"/>
        <w:right w:val="none" w:sz="0" w:space="0" w:color="auto"/>
      </w:divBdr>
    </w:div>
    <w:div w:id="1531603149">
      <w:bodyDiv w:val="1"/>
      <w:marLeft w:val="0"/>
      <w:marRight w:val="0"/>
      <w:marTop w:val="0"/>
      <w:marBottom w:val="0"/>
      <w:divBdr>
        <w:top w:val="none" w:sz="0" w:space="0" w:color="auto"/>
        <w:left w:val="none" w:sz="0" w:space="0" w:color="auto"/>
        <w:bottom w:val="none" w:sz="0" w:space="0" w:color="auto"/>
        <w:right w:val="none" w:sz="0" w:space="0" w:color="auto"/>
      </w:divBdr>
    </w:div>
    <w:div w:id="1619265092">
      <w:bodyDiv w:val="1"/>
      <w:marLeft w:val="0"/>
      <w:marRight w:val="0"/>
      <w:marTop w:val="0"/>
      <w:marBottom w:val="0"/>
      <w:divBdr>
        <w:top w:val="none" w:sz="0" w:space="0" w:color="auto"/>
        <w:left w:val="none" w:sz="0" w:space="0" w:color="auto"/>
        <w:bottom w:val="none" w:sz="0" w:space="0" w:color="auto"/>
        <w:right w:val="none" w:sz="0" w:space="0" w:color="auto"/>
      </w:divBdr>
    </w:div>
    <w:div w:id="1655522139">
      <w:bodyDiv w:val="1"/>
      <w:marLeft w:val="0"/>
      <w:marRight w:val="0"/>
      <w:marTop w:val="0"/>
      <w:marBottom w:val="0"/>
      <w:divBdr>
        <w:top w:val="none" w:sz="0" w:space="0" w:color="auto"/>
        <w:left w:val="none" w:sz="0" w:space="0" w:color="auto"/>
        <w:bottom w:val="none" w:sz="0" w:space="0" w:color="auto"/>
        <w:right w:val="none" w:sz="0" w:space="0" w:color="auto"/>
      </w:divBdr>
    </w:div>
    <w:div w:id="1656445828">
      <w:bodyDiv w:val="1"/>
      <w:marLeft w:val="0"/>
      <w:marRight w:val="0"/>
      <w:marTop w:val="0"/>
      <w:marBottom w:val="0"/>
      <w:divBdr>
        <w:top w:val="none" w:sz="0" w:space="0" w:color="auto"/>
        <w:left w:val="none" w:sz="0" w:space="0" w:color="auto"/>
        <w:bottom w:val="none" w:sz="0" w:space="0" w:color="auto"/>
        <w:right w:val="none" w:sz="0" w:space="0" w:color="auto"/>
      </w:divBdr>
    </w:div>
    <w:div w:id="1773816754">
      <w:bodyDiv w:val="1"/>
      <w:marLeft w:val="0"/>
      <w:marRight w:val="0"/>
      <w:marTop w:val="0"/>
      <w:marBottom w:val="0"/>
      <w:divBdr>
        <w:top w:val="none" w:sz="0" w:space="0" w:color="auto"/>
        <w:left w:val="none" w:sz="0" w:space="0" w:color="auto"/>
        <w:bottom w:val="none" w:sz="0" w:space="0" w:color="auto"/>
        <w:right w:val="none" w:sz="0" w:space="0" w:color="auto"/>
      </w:divBdr>
    </w:div>
    <w:div w:id="1804930353">
      <w:bodyDiv w:val="1"/>
      <w:marLeft w:val="0"/>
      <w:marRight w:val="0"/>
      <w:marTop w:val="0"/>
      <w:marBottom w:val="0"/>
      <w:divBdr>
        <w:top w:val="none" w:sz="0" w:space="0" w:color="auto"/>
        <w:left w:val="none" w:sz="0" w:space="0" w:color="auto"/>
        <w:bottom w:val="none" w:sz="0" w:space="0" w:color="auto"/>
        <w:right w:val="none" w:sz="0" w:space="0" w:color="auto"/>
      </w:divBdr>
    </w:div>
    <w:div w:id="1807817449">
      <w:bodyDiv w:val="1"/>
      <w:marLeft w:val="0"/>
      <w:marRight w:val="0"/>
      <w:marTop w:val="0"/>
      <w:marBottom w:val="0"/>
      <w:divBdr>
        <w:top w:val="none" w:sz="0" w:space="0" w:color="auto"/>
        <w:left w:val="none" w:sz="0" w:space="0" w:color="auto"/>
        <w:bottom w:val="none" w:sz="0" w:space="0" w:color="auto"/>
        <w:right w:val="none" w:sz="0" w:space="0" w:color="auto"/>
      </w:divBdr>
    </w:div>
    <w:div w:id="1811241038">
      <w:bodyDiv w:val="1"/>
      <w:marLeft w:val="0"/>
      <w:marRight w:val="0"/>
      <w:marTop w:val="0"/>
      <w:marBottom w:val="0"/>
      <w:divBdr>
        <w:top w:val="none" w:sz="0" w:space="0" w:color="auto"/>
        <w:left w:val="none" w:sz="0" w:space="0" w:color="auto"/>
        <w:bottom w:val="none" w:sz="0" w:space="0" w:color="auto"/>
        <w:right w:val="none" w:sz="0" w:space="0" w:color="auto"/>
      </w:divBdr>
    </w:div>
    <w:div w:id="1814518999">
      <w:bodyDiv w:val="1"/>
      <w:marLeft w:val="0"/>
      <w:marRight w:val="0"/>
      <w:marTop w:val="0"/>
      <w:marBottom w:val="0"/>
      <w:divBdr>
        <w:top w:val="none" w:sz="0" w:space="0" w:color="auto"/>
        <w:left w:val="none" w:sz="0" w:space="0" w:color="auto"/>
        <w:bottom w:val="none" w:sz="0" w:space="0" w:color="auto"/>
        <w:right w:val="none" w:sz="0" w:space="0" w:color="auto"/>
      </w:divBdr>
    </w:div>
    <w:div w:id="1910730962">
      <w:bodyDiv w:val="1"/>
      <w:marLeft w:val="0"/>
      <w:marRight w:val="0"/>
      <w:marTop w:val="0"/>
      <w:marBottom w:val="0"/>
      <w:divBdr>
        <w:top w:val="none" w:sz="0" w:space="0" w:color="auto"/>
        <w:left w:val="none" w:sz="0" w:space="0" w:color="auto"/>
        <w:bottom w:val="none" w:sz="0" w:space="0" w:color="auto"/>
        <w:right w:val="none" w:sz="0" w:space="0" w:color="auto"/>
      </w:divBdr>
    </w:div>
    <w:div w:id="1953318040">
      <w:bodyDiv w:val="1"/>
      <w:marLeft w:val="0"/>
      <w:marRight w:val="0"/>
      <w:marTop w:val="0"/>
      <w:marBottom w:val="0"/>
      <w:divBdr>
        <w:top w:val="none" w:sz="0" w:space="0" w:color="auto"/>
        <w:left w:val="none" w:sz="0" w:space="0" w:color="auto"/>
        <w:bottom w:val="none" w:sz="0" w:space="0" w:color="auto"/>
        <w:right w:val="none" w:sz="0" w:space="0" w:color="auto"/>
      </w:divBdr>
    </w:div>
    <w:div w:id="1965772928">
      <w:bodyDiv w:val="1"/>
      <w:marLeft w:val="0"/>
      <w:marRight w:val="0"/>
      <w:marTop w:val="0"/>
      <w:marBottom w:val="0"/>
      <w:divBdr>
        <w:top w:val="none" w:sz="0" w:space="0" w:color="auto"/>
        <w:left w:val="none" w:sz="0" w:space="0" w:color="auto"/>
        <w:bottom w:val="none" w:sz="0" w:space="0" w:color="auto"/>
        <w:right w:val="none" w:sz="0" w:space="0" w:color="auto"/>
      </w:divBdr>
    </w:div>
    <w:div w:id="1968925698">
      <w:bodyDiv w:val="1"/>
      <w:marLeft w:val="0"/>
      <w:marRight w:val="0"/>
      <w:marTop w:val="0"/>
      <w:marBottom w:val="0"/>
      <w:divBdr>
        <w:top w:val="none" w:sz="0" w:space="0" w:color="auto"/>
        <w:left w:val="none" w:sz="0" w:space="0" w:color="auto"/>
        <w:bottom w:val="none" w:sz="0" w:space="0" w:color="auto"/>
        <w:right w:val="none" w:sz="0" w:space="0" w:color="auto"/>
      </w:divBdr>
    </w:div>
    <w:div w:id="1977291526">
      <w:bodyDiv w:val="1"/>
      <w:marLeft w:val="0"/>
      <w:marRight w:val="0"/>
      <w:marTop w:val="0"/>
      <w:marBottom w:val="0"/>
      <w:divBdr>
        <w:top w:val="none" w:sz="0" w:space="0" w:color="auto"/>
        <w:left w:val="none" w:sz="0" w:space="0" w:color="auto"/>
        <w:bottom w:val="none" w:sz="0" w:space="0" w:color="auto"/>
        <w:right w:val="none" w:sz="0" w:space="0" w:color="auto"/>
      </w:divBdr>
    </w:div>
    <w:div w:id="2012290301">
      <w:bodyDiv w:val="1"/>
      <w:marLeft w:val="0"/>
      <w:marRight w:val="0"/>
      <w:marTop w:val="0"/>
      <w:marBottom w:val="0"/>
      <w:divBdr>
        <w:top w:val="none" w:sz="0" w:space="0" w:color="auto"/>
        <w:left w:val="none" w:sz="0" w:space="0" w:color="auto"/>
        <w:bottom w:val="none" w:sz="0" w:space="0" w:color="auto"/>
        <w:right w:val="none" w:sz="0" w:space="0" w:color="auto"/>
      </w:divBdr>
    </w:div>
    <w:div w:id="2019961201">
      <w:bodyDiv w:val="1"/>
      <w:marLeft w:val="0"/>
      <w:marRight w:val="0"/>
      <w:marTop w:val="0"/>
      <w:marBottom w:val="0"/>
      <w:divBdr>
        <w:top w:val="none" w:sz="0" w:space="0" w:color="auto"/>
        <w:left w:val="none" w:sz="0" w:space="0" w:color="auto"/>
        <w:bottom w:val="none" w:sz="0" w:space="0" w:color="auto"/>
        <w:right w:val="none" w:sz="0" w:space="0" w:color="auto"/>
      </w:divBdr>
    </w:div>
    <w:div w:id="2048753122">
      <w:bodyDiv w:val="1"/>
      <w:marLeft w:val="0"/>
      <w:marRight w:val="0"/>
      <w:marTop w:val="0"/>
      <w:marBottom w:val="0"/>
      <w:divBdr>
        <w:top w:val="none" w:sz="0" w:space="0" w:color="auto"/>
        <w:left w:val="none" w:sz="0" w:space="0" w:color="auto"/>
        <w:bottom w:val="none" w:sz="0" w:space="0" w:color="auto"/>
        <w:right w:val="none" w:sz="0" w:space="0" w:color="auto"/>
      </w:divBdr>
    </w:div>
    <w:div w:id="2057510084">
      <w:bodyDiv w:val="1"/>
      <w:marLeft w:val="0"/>
      <w:marRight w:val="0"/>
      <w:marTop w:val="0"/>
      <w:marBottom w:val="0"/>
      <w:divBdr>
        <w:top w:val="none" w:sz="0" w:space="0" w:color="auto"/>
        <w:left w:val="none" w:sz="0" w:space="0" w:color="auto"/>
        <w:bottom w:val="none" w:sz="0" w:space="0" w:color="auto"/>
        <w:right w:val="none" w:sz="0" w:space="0" w:color="auto"/>
      </w:divBdr>
    </w:div>
    <w:div w:id="2058509513">
      <w:bodyDiv w:val="1"/>
      <w:marLeft w:val="0"/>
      <w:marRight w:val="0"/>
      <w:marTop w:val="0"/>
      <w:marBottom w:val="0"/>
      <w:divBdr>
        <w:top w:val="none" w:sz="0" w:space="0" w:color="auto"/>
        <w:left w:val="none" w:sz="0" w:space="0" w:color="auto"/>
        <w:bottom w:val="none" w:sz="0" w:space="0" w:color="auto"/>
        <w:right w:val="none" w:sz="0" w:space="0" w:color="auto"/>
      </w:divBdr>
    </w:div>
    <w:div w:id="2076050367">
      <w:bodyDiv w:val="1"/>
      <w:marLeft w:val="0"/>
      <w:marRight w:val="0"/>
      <w:marTop w:val="0"/>
      <w:marBottom w:val="0"/>
      <w:divBdr>
        <w:top w:val="none" w:sz="0" w:space="0" w:color="auto"/>
        <w:left w:val="none" w:sz="0" w:space="0" w:color="auto"/>
        <w:bottom w:val="none" w:sz="0" w:space="0" w:color="auto"/>
        <w:right w:val="none" w:sz="0" w:space="0" w:color="auto"/>
      </w:divBdr>
    </w:div>
    <w:div w:id="20841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stat.gov.al/en/theme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nstat.gov.al" TargetMode="External"/><Relationship Id="rId1" Type="http://schemas.openxmlformats.org/officeDocument/2006/relationships/hyperlink" Target="mailto:info@instat.go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alxh\Documents\Publikimet\Publikimet%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858089212400092E-2"/>
          <c:y val="2.1023436776285317E-2"/>
          <c:w val="0.91243141086539792"/>
          <c:h val="0.69819360815192222"/>
        </c:manualLayout>
      </c:layout>
      <c:lineChart>
        <c:grouping val="standard"/>
        <c:varyColors val="0"/>
        <c:ser>
          <c:idx val="0"/>
          <c:order val="0"/>
          <c:tx>
            <c:strRef>
              <c:f>'graf1_p _english'!$A$3</c:f>
              <c:strCache>
                <c:ptCount val="1"/>
                <c:pt idx="0">
                  <c:v>Retail trade volume index (seasonally unadjusted)</c:v>
                </c:pt>
              </c:strCache>
            </c:strRef>
          </c:tx>
          <c:marker>
            <c:symbol val="none"/>
          </c:marker>
          <c:cat>
            <c:strRef>
              <c:f>'graf1_p _english'!$C$2:$AQ$2</c:f>
              <c:strCache>
                <c:ptCount val="41"/>
                <c:pt idx="0">
                  <c:v>II-14</c:v>
                </c:pt>
                <c:pt idx="1">
                  <c:v>III-14</c:v>
                </c:pt>
                <c:pt idx="2">
                  <c:v>IV-14</c:v>
                </c:pt>
                <c:pt idx="3">
                  <c:v>I-15</c:v>
                </c:pt>
                <c:pt idx="4">
                  <c:v>II-15</c:v>
                </c:pt>
                <c:pt idx="5">
                  <c:v>III-15</c:v>
                </c:pt>
                <c:pt idx="6">
                  <c:v>IV-15</c:v>
                </c:pt>
                <c:pt idx="7">
                  <c:v>I-16</c:v>
                </c:pt>
                <c:pt idx="8">
                  <c:v>II-16</c:v>
                </c:pt>
                <c:pt idx="9">
                  <c:v>III-16</c:v>
                </c:pt>
                <c:pt idx="10">
                  <c:v>IV-16</c:v>
                </c:pt>
                <c:pt idx="11">
                  <c:v>I-17</c:v>
                </c:pt>
                <c:pt idx="12">
                  <c:v>II-17</c:v>
                </c:pt>
                <c:pt idx="13">
                  <c:v>III-17</c:v>
                </c:pt>
                <c:pt idx="14">
                  <c:v>IV-17</c:v>
                </c:pt>
                <c:pt idx="15">
                  <c:v>I-18</c:v>
                </c:pt>
                <c:pt idx="16">
                  <c:v>II-18</c:v>
                </c:pt>
                <c:pt idx="17">
                  <c:v>III-18</c:v>
                </c:pt>
                <c:pt idx="18">
                  <c:v>IV-18</c:v>
                </c:pt>
                <c:pt idx="19">
                  <c:v>I-19</c:v>
                </c:pt>
                <c:pt idx="20">
                  <c:v>II-19</c:v>
                </c:pt>
                <c:pt idx="21">
                  <c:v>III-19</c:v>
                </c:pt>
                <c:pt idx="22">
                  <c:v>IV-19</c:v>
                </c:pt>
                <c:pt idx="23">
                  <c:v>I-20</c:v>
                </c:pt>
                <c:pt idx="24">
                  <c:v>II-20</c:v>
                </c:pt>
                <c:pt idx="25">
                  <c:v>III-20</c:v>
                </c:pt>
                <c:pt idx="26">
                  <c:v>IV-20</c:v>
                </c:pt>
                <c:pt idx="27">
                  <c:v>I-21</c:v>
                </c:pt>
                <c:pt idx="28">
                  <c:v>II-21</c:v>
                </c:pt>
                <c:pt idx="29">
                  <c:v>III-21</c:v>
                </c:pt>
                <c:pt idx="30">
                  <c:v>IV-21</c:v>
                </c:pt>
                <c:pt idx="31">
                  <c:v>I-22</c:v>
                </c:pt>
                <c:pt idx="32">
                  <c:v>II-22</c:v>
                </c:pt>
                <c:pt idx="33">
                  <c:v>III-22</c:v>
                </c:pt>
                <c:pt idx="34">
                  <c:v>IV-22</c:v>
                </c:pt>
                <c:pt idx="35">
                  <c:v>I-23</c:v>
                </c:pt>
                <c:pt idx="36">
                  <c:v>II-23</c:v>
                </c:pt>
                <c:pt idx="37">
                  <c:v>III-23</c:v>
                </c:pt>
                <c:pt idx="38">
                  <c:v>IV-23</c:v>
                </c:pt>
                <c:pt idx="39">
                  <c:v>I-24</c:v>
                </c:pt>
                <c:pt idx="40">
                  <c:v>II-24</c:v>
                </c:pt>
              </c:strCache>
            </c:strRef>
          </c:cat>
          <c:val>
            <c:numRef>
              <c:f>'graf1_p _english'!$C$3:$AQ$3</c:f>
              <c:numCache>
                <c:formatCode>0.0</c:formatCode>
                <c:ptCount val="41"/>
                <c:pt idx="0">
                  <c:v>77.757027886686856</c:v>
                </c:pt>
                <c:pt idx="1">
                  <c:v>83.020942582114301</c:v>
                </c:pt>
                <c:pt idx="2">
                  <c:v>83.433788982403982</c:v>
                </c:pt>
                <c:pt idx="3">
                  <c:v>75.758262669171188</c:v>
                </c:pt>
                <c:pt idx="4">
                  <c:v>80.609916713344177</c:v>
                </c:pt>
                <c:pt idx="5">
                  <c:v>90.006566165063532</c:v>
                </c:pt>
                <c:pt idx="6">
                  <c:v>89.78997722583982</c:v>
                </c:pt>
                <c:pt idx="7">
                  <c:v>78.98450095041818</c:v>
                </c:pt>
                <c:pt idx="8">
                  <c:v>85.99236314416197</c:v>
                </c:pt>
                <c:pt idx="9">
                  <c:v>96.088987021296816</c:v>
                </c:pt>
                <c:pt idx="10">
                  <c:v>97.139030590708799</c:v>
                </c:pt>
                <c:pt idx="11">
                  <c:v>80.919334925470068</c:v>
                </c:pt>
                <c:pt idx="12">
                  <c:v>87.461441489798403</c:v>
                </c:pt>
                <c:pt idx="13">
                  <c:v>97.053736838367925</c:v>
                </c:pt>
                <c:pt idx="14">
                  <c:v>97.21046465505303</c:v>
                </c:pt>
                <c:pt idx="15">
                  <c:v>81.794277221337367</c:v>
                </c:pt>
                <c:pt idx="16">
                  <c:v>89.383884873323225</c:v>
                </c:pt>
                <c:pt idx="17">
                  <c:v>100.67947860333699</c:v>
                </c:pt>
                <c:pt idx="18">
                  <c:v>99.772145743037115</c:v>
                </c:pt>
                <c:pt idx="19">
                  <c:v>83.997148935987269</c:v>
                </c:pt>
                <c:pt idx="20">
                  <c:v>92.080034609913142</c:v>
                </c:pt>
                <c:pt idx="21">
                  <c:v>104.13719771749713</c:v>
                </c:pt>
                <c:pt idx="22">
                  <c:v>103.09232376306089</c:v>
                </c:pt>
                <c:pt idx="23">
                  <c:v>83.620586192172084</c:v>
                </c:pt>
                <c:pt idx="24">
                  <c:v>84.426430977034968</c:v>
                </c:pt>
                <c:pt idx="25">
                  <c:v>104.85809243116053</c:v>
                </c:pt>
                <c:pt idx="26">
                  <c:v>105.83648923721591</c:v>
                </c:pt>
                <c:pt idx="27">
                  <c:v>86.602794247189578</c:v>
                </c:pt>
                <c:pt idx="28">
                  <c:v>92.771327704520687</c:v>
                </c:pt>
                <c:pt idx="29">
                  <c:v>110.10088526332349</c:v>
                </c:pt>
                <c:pt idx="30">
                  <c:v>110.52499278496622</c:v>
                </c:pt>
                <c:pt idx="31">
                  <c:v>91.148553800301485</c:v>
                </c:pt>
                <c:pt idx="32">
                  <c:v>98.471228084133358</c:v>
                </c:pt>
                <c:pt idx="33">
                  <c:v>115.20322651472122</c:v>
                </c:pt>
                <c:pt idx="34">
                  <c:v>114.93243440154954</c:v>
                </c:pt>
                <c:pt idx="35">
                  <c:v>95.511400027787701</c:v>
                </c:pt>
                <c:pt idx="36">
                  <c:v>104.14755402532442</c:v>
                </c:pt>
                <c:pt idx="37">
                  <c:v>121.22947072229074</c:v>
                </c:pt>
                <c:pt idx="38">
                  <c:v>120.10033498322998</c:v>
                </c:pt>
                <c:pt idx="39">
                  <c:v>100.21859830270552</c:v>
                </c:pt>
                <c:pt idx="40">
                  <c:v>110.26275100838028</c:v>
                </c:pt>
              </c:numCache>
            </c:numRef>
          </c:val>
          <c:smooth val="0"/>
          <c:extLst>
            <c:ext xmlns:c16="http://schemas.microsoft.com/office/drawing/2014/chart" uri="{C3380CC4-5D6E-409C-BE32-E72D297353CC}">
              <c16:uniqueId val="{00000000-CBC2-425C-8B8F-1417A26982E5}"/>
            </c:ext>
          </c:extLst>
        </c:ser>
        <c:ser>
          <c:idx val="1"/>
          <c:order val="1"/>
          <c:tx>
            <c:strRef>
              <c:f>'graf1_p _english'!$A$4</c:f>
              <c:strCache>
                <c:ptCount val="1"/>
                <c:pt idx="0">
                  <c:v>Retail trade value index (seasonally unadjusted)</c:v>
                </c:pt>
              </c:strCache>
            </c:strRef>
          </c:tx>
          <c:marker>
            <c:symbol val="none"/>
          </c:marker>
          <c:cat>
            <c:strRef>
              <c:f>'graf1_p _english'!$C$2:$AQ$2</c:f>
              <c:strCache>
                <c:ptCount val="41"/>
                <c:pt idx="0">
                  <c:v>II-14</c:v>
                </c:pt>
                <c:pt idx="1">
                  <c:v>III-14</c:v>
                </c:pt>
                <c:pt idx="2">
                  <c:v>IV-14</c:v>
                </c:pt>
                <c:pt idx="3">
                  <c:v>I-15</c:v>
                </c:pt>
                <c:pt idx="4">
                  <c:v>II-15</c:v>
                </c:pt>
                <c:pt idx="5">
                  <c:v>III-15</c:v>
                </c:pt>
                <c:pt idx="6">
                  <c:v>IV-15</c:v>
                </c:pt>
                <c:pt idx="7">
                  <c:v>I-16</c:v>
                </c:pt>
                <c:pt idx="8">
                  <c:v>II-16</c:v>
                </c:pt>
                <c:pt idx="9">
                  <c:v>III-16</c:v>
                </c:pt>
                <c:pt idx="10">
                  <c:v>IV-16</c:v>
                </c:pt>
                <c:pt idx="11">
                  <c:v>I-17</c:v>
                </c:pt>
                <c:pt idx="12">
                  <c:v>II-17</c:v>
                </c:pt>
                <c:pt idx="13">
                  <c:v>III-17</c:v>
                </c:pt>
                <c:pt idx="14">
                  <c:v>IV-17</c:v>
                </c:pt>
                <c:pt idx="15">
                  <c:v>I-18</c:v>
                </c:pt>
                <c:pt idx="16">
                  <c:v>II-18</c:v>
                </c:pt>
                <c:pt idx="17">
                  <c:v>III-18</c:v>
                </c:pt>
                <c:pt idx="18">
                  <c:v>IV-18</c:v>
                </c:pt>
                <c:pt idx="19">
                  <c:v>I-19</c:v>
                </c:pt>
                <c:pt idx="20">
                  <c:v>II-19</c:v>
                </c:pt>
                <c:pt idx="21">
                  <c:v>III-19</c:v>
                </c:pt>
                <c:pt idx="22">
                  <c:v>IV-19</c:v>
                </c:pt>
                <c:pt idx="23">
                  <c:v>I-20</c:v>
                </c:pt>
                <c:pt idx="24">
                  <c:v>II-20</c:v>
                </c:pt>
                <c:pt idx="25">
                  <c:v>III-20</c:v>
                </c:pt>
                <c:pt idx="26">
                  <c:v>IV-20</c:v>
                </c:pt>
                <c:pt idx="27">
                  <c:v>I-21</c:v>
                </c:pt>
                <c:pt idx="28">
                  <c:v>II-21</c:v>
                </c:pt>
                <c:pt idx="29">
                  <c:v>III-21</c:v>
                </c:pt>
                <c:pt idx="30">
                  <c:v>IV-21</c:v>
                </c:pt>
                <c:pt idx="31">
                  <c:v>I-22</c:v>
                </c:pt>
                <c:pt idx="32">
                  <c:v>II-22</c:v>
                </c:pt>
                <c:pt idx="33">
                  <c:v>III-22</c:v>
                </c:pt>
                <c:pt idx="34">
                  <c:v>IV-22</c:v>
                </c:pt>
                <c:pt idx="35">
                  <c:v>I-23</c:v>
                </c:pt>
                <c:pt idx="36">
                  <c:v>II-23</c:v>
                </c:pt>
                <c:pt idx="37">
                  <c:v>III-23</c:v>
                </c:pt>
                <c:pt idx="38">
                  <c:v>IV-23</c:v>
                </c:pt>
                <c:pt idx="39">
                  <c:v>I-24</c:v>
                </c:pt>
                <c:pt idx="40">
                  <c:v>II-24</c:v>
                </c:pt>
              </c:strCache>
            </c:strRef>
          </c:cat>
          <c:val>
            <c:numRef>
              <c:f>'graf1_p _english'!$C$4:$AQ$4</c:f>
              <c:numCache>
                <c:formatCode>0.0</c:formatCode>
                <c:ptCount val="41"/>
                <c:pt idx="0">
                  <c:v>75.395931810314778</c:v>
                </c:pt>
                <c:pt idx="1">
                  <c:v>79.803993492092914</c:v>
                </c:pt>
                <c:pt idx="2">
                  <c:v>79.089935853350966</c:v>
                </c:pt>
                <c:pt idx="3">
                  <c:v>71.88677626206119</c:v>
                </c:pt>
                <c:pt idx="4">
                  <c:v>77.505311458267542</c:v>
                </c:pt>
                <c:pt idx="5">
                  <c:v>85.807342656730725</c:v>
                </c:pt>
                <c:pt idx="6">
                  <c:v>84.674149686851365</c:v>
                </c:pt>
                <c:pt idx="7">
                  <c:v>73.349511541870712</c:v>
                </c:pt>
                <c:pt idx="8">
                  <c:v>79.559007540851937</c:v>
                </c:pt>
                <c:pt idx="9">
                  <c:v>89.553102012971308</c:v>
                </c:pt>
                <c:pt idx="10">
                  <c:v>91.513335256357507</c:v>
                </c:pt>
                <c:pt idx="11">
                  <c:v>77.641817673772394</c:v>
                </c:pt>
                <c:pt idx="12">
                  <c:v>83.210353777978909</c:v>
                </c:pt>
                <c:pt idx="13">
                  <c:v>91.937263249855164</c:v>
                </c:pt>
                <c:pt idx="14">
                  <c:v>93.008266471711906</c:v>
                </c:pt>
                <c:pt idx="15">
                  <c:v>79.818288780338364</c:v>
                </c:pt>
                <c:pt idx="16">
                  <c:v>86.998663189167004</c:v>
                </c:pt>
                <c:pt idx="17">
                  <c:v>98.110260967465237</c:v>
                </c:pt>
                <c:pt idx="18">
                  <c:v>97.823462184504706</c:v>
                </c:pt>
                <c:pt idx="19">
                  <c:v>83.265062931887144</c:v>
                </c:pt>
                <c:pt idx="20">
                  <c:v>90.844239215574319</c:v>
                </c:pt>
                <c:pt idx="21">
                  <c:v>102.24615354471611</c:v>
                </c:pt>
                <c:pt idx="22">
                  <c:v>101.49690984583253</c:v>
                </c:pt>
                <c:pt idx="23">
                  <c:v>83.509356106251786</c:v>
                </c:pt>
                <c:pt idx="24">
                  <c:v>82.414150582037934</c:v>
                </c:pt>
                <c:pt idx="25">
                  <c:v>101.05004183462746</c:v>
                </c:pt>
                <c:pt idx="26">
                  <c:v>102.2481631453237</c:v>
                </c:pt>
                <c:pt idx="27">
                  <c:v>85.024964888648014</c:v>
                </c:pt>
                <c:pt idx="28">
                  <c:v>91.879304074106756</c:v>
                </c:pt>
                <c:pt idx="29">
                  <c:v>110.21360487696114</c:v>
                </c:pt>
                <c:pt idx="30">
                  <c:v>112.88212616028407</c:v>
                </c:pt>
                <c:pt idx="31">
                  <c:v>97.936501158184001</c:v>
                </c:pt>
                <c:pt idx="32">
                  <c:v>112.77698374225356</c:v>
                </c:pt>
                <c:pt idx="33">
                  <c:v>130.84606472481573</c:v>
                </c:pt>
                <c:pt idx="34">
                  <c:v>128.27019008970862</c:v>
                </c:pt>
                <c:pt idx="35">
                  <c:v>106.3244277705889</c:v>
                </c:pt>
                <c:pt idx="36">
                  <c:v>114.60039117831764</c:v>
                </c:pt>
                <c:pt idx="37">
                  <c:v>134.97911151173358</c:v>
                </c:pt>
                <c:pt idx="38">
                  <c:v>136.46555229040521</c:v>
                </c:pt>
                <c:pt idx="39">
                  <c:v>113.01692099566303</c:v>
                </c:pt>
                <c:pt idx="40">
                  <c:v>115.8375565953891</c:v>
                </c:pt>
              </c:numCache>
            </c:numRef>
          </c:val>
          <c:smooth val="0"/>
          <c:extLst>
            <c:ext xmlns:c16="http://schemas.microsoft.com/office/drawing/2014/chart" uri="{C3380CC4-5D6E-409C-BE32-E72D297353CC}">
              <c16:uniqueId val="{00000001-CBC2-425C-8B8F-1417A26982E5}"/>
            </c:ext>
          </c:extLst>
        </c:ser>
        <c:dLbls>
          <c:showLegendKey val="0"/>
          <c:showVal val="0"/>
          <c:showCatName val="0"/>
          <c:showSerName val="0"/>
          <c:showPercent val="0"/>
          <c:showBubbleSize val="0"/>
        </c:dLbls>
        <c:smooth val="0"/>
        <c:axId val="144766464"/>
        <c:axId val="144768000"/>
      </c:lineChart>
      <c:catAx>
        <c:axId val="144766464"/>
        <c:scaling>
          <c:orientation val="minMax"/>
        </c:scaling>
        <c:delete val="0"/>
        <c:axPos val="b"/>
        <c:numFmt formatCode="General" sourceLinked="0"/>
        <c:majorTickMark val="out"/>
        <c:minorTickMark val="none"/>
        <c:tickLblPos val="nextTo"/>
        <c:txPr>
          <a:bodyPr/>
          <a:lstStyle/>
          <a:p>
            <a:pPr>
              <a:defRPr sz="800">
                <a:latin typeface="Arial Narrow" panose="020B0606020202030204" pitchFamily="34" charset="0"/>
              </a:defRPr>
            </a:pPr>
            <a:endParaRPr lang="en-US"/>
          </a:p>
        </c:txPr>
        <c:crossAx val="144768000"/>
        <c:crosses val="autoZero"/>
        <c:auto val="1"/>
        <c:lblAlgn val="ctr"/>
        <c:lblOffset val="100"/>
        <c:noMultiLvlLbl val="0"/>
      </c:catAx>
      <c:valAx>
        <c:axId val="144768000"/>
        <c:scaling>
          <c:orientation val="minMax"/>
        </c:scaling>
        <c:delete val="0"/>
        <c:axPos val="l"/>
        <c:majorGridlines>
          <c:spPr>
            <a:ln>
              <a:prstDash val="sysDot"/>
            </a:ln>
          </c:spPr>
        </c:majorGridlines>
        <c:numFmt formatCode="0.0" sourceLinked="1"/>
        <c:majorTickMark val="out"/>
        <c:minorTickMark val="none"/>
        <c:tickLblPos val="nextTo"/>
        <c:txPr>
          <a:bodyPr/>
          <a:lstStyle/>
          <a:p>
            <a:pPr>
              <a:defRPr sz="800">
                <a:latin typeface="Arial Narrow" panose="020B0606020202030204" pitchFamily="34" charset="0"/>
              </a:defRPr>
            </a:pPr>
            <a:endParaRPr lang="en-US"/>
          </a:p>
        </c:txPr>
        <c:crossAx val="144766464"/>
        <c:crosses val="autoZero"/>
        <c:crossBetween val="between"/>
      </c:valAx>
    </c:plotArea>
    <c:legend>
      <c:legendPos val="b"/>
      <c:layout>
        <c:manualLayout>
          <c:xMode val="edge"/>
          <c:yMode val="edge"/>
          <c:x val="0.05"/>
          <c:y val="0.86896192681797124"/>
          <c:w val="0.9"/>
          <c:h val="0.10280277906438166"/>
        </c:manualLayout>
      </c:layout>
      <c:overlay val="0"/>
      <c:txPr>
        <a:bodyPr/>
        <a:lstStyle/>
        <a:p>
          <a:pPr>
            <a:defRPr sz="900">
              <a:latin typeface="Arial Narrow" panose="020B0606020202030204" pitchFamily="34"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12131175910704E-2"/>
          <c:y val="5.2757793764988008E-2"/>
          <c:w val="0.53315600934498575"/>
          <c:h val="0.85006401178269986"/>
        </c:manualLayout>
      </c:layout>
      <c:barChart>
        <c:barDir val="bar"/>
        <c:grouping val="clustered"/>
        <c:varyColors val="0"/>
        <c:ser>
          <c:idx val="0"/>
          <c:order val="0"/>
          <c:tx>
            <c:strRef>
              <c:f>'graf 2 (3)'!$A$3</c:f>
              <c:strCache>
                <c:ptCount val="1"/>
                <c:pt idx="0">
                  <c:v>Third quarter 2023 / Third quarter 2022</c:v>
                </c:pt>
              </c:strCache>
            </c:strRef>
          </c:tx>
          <c:spPr>
            <a:solidFill>
              <a:schemeClr val="accent2"/>
            </a:solidFill>
          </c:spPr>
          <c:invertIfNegative val="0"/>
          <c:dLbls>
            <c:spPr>
              <a:effectLst>
                <a:glow rad="127000">
                  <a:srgbClr val="FF0000"/>
                </a:glow>
              </a:effectLst>
            </c:spPr>
            <c:txPr>
              <a:bodyPr wrap="square" lIns="38100" tIns="19050" rIns="38100" bIns="19050" anchor="ctr">
                <a:spAutoFit/>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2 (3)'!$B$2:$D$2</c:f>
              <c:strCache>
                <c:ptCount val="3"/>
                <c:pt idx="0">
                  <c:v>Food beverages tobacco in specialised and non specialised stores.</c:v>
                </c:pt>
                <c:pt idx="1">
                  <c:v>Non-food products in specialised and non-specialised stores</c:v>
                </c:pt>
                <c:pt idx="2">
                  <c:v>Retail sale of Motor Fuels</c:v>
                </c:pt>
              </c:strCache>
            </c:strRef>
          </c:cat>
          <c:val>
            <c:numRef>
              <c:f>'graf 2 (3)'!$B$3:$D$3</c:f>
              <c:numCache>
                <c:formatCode>0.0</c:formatCode>
                <c:ptCount val="3"/>
                <c:pt idx="0">
                  <c:v>1.9092541484747398</c:v>
                </c:pt>
                <c:pt idx="1">
                  <c:v>2.6923217017348748</c:v>
                </c:pt>
                <c:pt idx="2">
                  <c:v>1.2984241497903859</c:v>
                </c:pt>
              </c:numCache>
            </c:numRef>
          </c:val>
          <c:extLst>
            <c:ext xmlns:c16="http://schemas.microsoft.com/office/drawing/2014/chart" uri="{C3380CC4-5D6E-409C-BE32-E72D297353CC}">
              <c16:uniqueId val="{00000000-A0A2-4608-AD19-2075E227447D}"/>
            </c:ext>
          </c:extLst>
        </c:ser>
        <c:dLbls>
          <c:showLegendKey val="0"/>
          <c:showVal val="0"/>
          <c:showCatName val="0"/>
          <c:showSerName val="0"/>
          <c:showPercent val="0"/>
          <c:showBubbleSize val="0"/>
        </c:dLbls>
        <c:gapWidth val="150"/>
        <c:axId val="225212672"/>
        <c:axId val="225214464"/>
      </c:barChart>
      <c:catAx>
        <c:axId val="225212672"/>
        <c:scaling>
          <c:orientation val="minMax"/>
        </c:scaling>
        <c:delete val="0"/>
        <c:axPos val="l"/>
        <c:numFmt formatCode="General" sourceLinked="0"/>
        <c:majorTickMark val="out"/>
        <c:minorTickMark val="none"/>
        <c:tickLblPos val="high"/>
        <c:txPr>
          <a:bodyPr rot="0" vert="horz"/>
          <a:lstStyle/>
          <a:p>
            <a:pPr>
              <a:defRPr sz="800">
                <a:latin typeface="Arial Narrow" panose="020B0606020202030204" pitchFamily="34" charset="0"/>
              </a:defRPr>
            </a:pPr>
            <a:endParaRPr lang="en-US"/>
          </a:p>
        </c:txPr>
        <c:crossAx val="225214464"/>
        <c:crosses val="autoZero"/>
        <c:auto val="0"/>
        <c:lblAlgn val="ctr"/>
        <c:lblOffset val="100"/>
        <c:noMultiLvlLbl val="0"/>
      </c:catAx>
      <c:valAx>
        <c:axId val="225214464"/>
        <c:scaling>
          <c:orientation val="minMax"/>
        </c:scaling>
        <c:delete val="0"/>
        <c:axPos val="b"/>
        <c:numFmt formatCode="0.0" sourceLinked="1"/>
        <c:majorTickMark val="out"/>
        <c:minorTickMark val="none"/>
        <c:tickLblPos val="nextTo"/>
        <c:spPr>
          <a:noFill/>
        </c:spPr>
        <c:txPr>
          <a:bodyPr/>
          <a:lstStyle/>
          <a:p>
            <a:pPr>
              <a:defRPr sz="800">
                <a:latin typeface="Arial Narrow" panose="020B0606020202030204" pitchFamily="34" charset="0"/>
              </a:defRPr>
            </a:pPr>
            <a:endParaRPr lang="en-US"/>
          </a:p>
        </c:txPr>
        <c:crossAx val="225212672"/>
        <c:crosses val="autoZero"/>
        <c:crossBetween val="between"/>
      </c:valAx>
      <c:spPr>
        <a:noFill/>
      </c:spPr>
    </c:plotArea>
    <c:plotVisOnly val="1"/>
    <c:dispBlanksAs val="gap"/>
    <c:showDLblsOverMax val="0"/>
  </c:chart>
  <c:spPr>
    <a:ln>
      <a:noFill/>
    </a:ln>
  </c:spPr>
  <c:txPr>
    <a:bodyPr/>
    <a:lstStyle/>
    <a:p>
      <a:pPr>
        <a:defRPr sz="900"/>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2E907F9D5545BB923F3F2D2EDDD15D"/>
        <w:category>
          <w:name w:val="General"/>
          <w:gallery w:val="placeholder"/>
        </w:category>
        <w:types>
          <w:type w:val="bbPlcHdr"/>
        </w:types>
        <w:behaviors>
          <w:behavior w:val="content"/>
        </w:behaviors>
        <w:guid w:val="{06B52033-A1AC-4FE7-9439-A9BCAF15BDF0}"/>
      </w:docPartPr>
      <w:docPartBody>
        <w:p w:rsidR="00E1192C" w:rsidRDefault="006A3726">
          <w:pPr>
            <w:pStyle w:val="F42E907F9D5545BB923F3F2D2EDDD15D"/>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3726"/>
    <w:rsid w:val="00015B5C"/>
    <w:rsid w:val="0001782E"/>
    <w:rsid w:val="000572A0"/>
    <w:rsid w:val="000B2E62"/>
    <w:rsid w:val="000D7033"/>
    <w:rsid w:val="00116CE4"/>
    <w:rsid w:val="00133506"/>
    <w:rsid w:val="00140597"/>
    <w:rsid w:val="00171AD3"/>
    <w:rsid w:val="00182D2C"/>
    <w:rsid w:val="00187B6F"/>
    <w:rsid w:val="001A2E1D"/>
    <w:rsid w:val="001D6B1C"/>
    <w:rsid w:val="002021CA"/>
    <w:rsid w:val="002119E5"/>
    <w:rsid w:val="00254985"/>
    <w:rsid w:val="0029640C"/>
    <w:rsid w:val="002F0CA1"/>
    <w:rsid w:val="00363A07"/>
    <w:rsid w:val="003A2981"/>
    <w:rsid w:val="003F24BE"/>
    <w:rsid w:val="00411FE5"/>
    <w:rsid w:val="00445198"/>
    <w:rsid w:val="00476369"/>
    <w:rsid w:val="00477B40"/>
    <w:rsid w:val="004B2E68"/>
    <w:rsid w:val="004E6EC3"/>
    <w:rsid w:val="004F34B3"/>
    <w:rsid w:val="004F7B66"/>
    <w:rsid w:val="00513BCE"/>
    <w:rsid w:val="005219EA"/>
    <w:rsid w:val="00543931"/>
    <w:rsid w:val="005475C6"/>
    <w:rsid w:val="00550239"/>
    <w:rsid w:val="005761C2"/>
    <w:rsid w:val="005D05A1"/>
    <w:rsid w:val="005E7F52"/>
    <w:rsid w:val="005F0656"/>
    <w:rsid w:val="00627DB8"/>
    <w:rsid w:val="006A3726"/>
    <w:rsid w:val="006A3864"/>
    <w:rsid w:val="00706C18"/>
    <w:rsid w:val="007104E2"/>
    <w:rsid w:val="0073168E"/>
    <w:rsid w:val="00786F6A"/>
    <w:rsid w:val="007C3AFC"/>
    <w:rsid w:val="007E3453"/>
    <w:rsid w:val="00823875"/>
    <w:rsid w:val="00846B0D"/>
    <w:rsid w:val="008B3EA3"/>
    <w:rsid w:val="008B7154"/>
    <w:rsid w:val="008C7C60"/>
    <w:rsid w:val="008E0623"/>
    <w:rsid w:val="00926D20"/>
    <w:rsid w:val="00963A72"/>
    <w:rsid w:val="009B5F14"/>
    <w:rsid w:val="009C5C36"/>
    <w:rsid w:val="009E4028"/>
    <w:rsid w:val="00A16210"/>
    <w:rsid w:val="00A509B6"/>
    <w:rsid w:val="00A51265"/>
    <w:rsid w:val="00AA3723"/>
    <w:rsid w:val="00AA40FA"/>
    <w:rsid w:val="00AA7AF1"/>
    <w:rsid w:val="00AC4392"/>
    <w:rsid w:val="00B204F0"/>
    <w:rsid w:val="00B368FA"/>
    <w:rsid w:val="00B66363"/>
    <w:rsid w:val="00B7152B"/>
    <w:rsid w:val="00B80806"/>
    <w:rsid w:val="00BB7EDD"/>
    <w:rsid w:val="00BE20A9"/>
    <w:rsid w:val="00BE72AB"/>
    <w:rsid w:val="00C1718E"/>
    <w:rsid w:val="00C23367"/>
    <w:rsid w:val="00C249CB"/>
    <w:rsid w:val="00C455E9"/>
    <w:rsid w:val="00C53E57"/>
    <w:rsid w:val="00C64B75"/>
    <w:rsid w:val="00C758B0"/>
    <w:rsid w:val="00C94FB9"/>
    <w:rsid w:val="00CA56A5"/>
    <w:rsid w:val="00CE3B9F"/>
    <w:rsid w:val="00CF60F8"/>
    <w:rsid w:val="00D625B2"/>
    <w:rsid w:val="00D642C9"/>
    <w:rsid w:val="00D84006"/>
    <w:rsid w:val="00DC5DA5"/>
    <w:rsid w:val="00DF0881"/>
    <w:rsid w:val="00DF3318"/>
    <w:rsid w:val="00E1192C"/>
    <w:rsid w:val="00E17193"/>
    <w:rsid w:val="00E25840"/>
    <w:rsid w:val="00E51B44"/>
    <w:rsid w:val="00E77CAB"/>
    <w:rsid w:val="00F117AC"/>
    <w:rsid w:val="00F275C8"/>
    <w:rsid w:val="00F749BF"/>
    <w:rsid w:val="00F85467"/>
    <w:rsid w:val="00F87810"/>
    <w:rsid w:val="00F948D2"/>
    <w:rsid w:val="00F96BBC"/>
    <w:rsid w:val="00FA5303"/>
    <w:rsid w:val="00FB0C3C"/>
    <w:rsid w:val="00FC3287"/>
    <w:rsid w:val="00FD2243"/>
    <w:rsid w:val="00FD6C3D"/>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7C8C2BB6C34A5984B4B0F90EB766EC">
    <w:name w:val="5B7C8C2BB6C34A5984B4B0F90EB766EC"/>
    <w:rsid w:val="00E1192C"/>
  </w:style>
  <w:style w:type="character" w:styleId="Emphasis">
    <w:name w:val="Emphasis"/>
    <w:qFormat/>
    <w:rsid w:val="00411FE5"/>
    <w:rPr>
      <w:rFonts w:asciiTheme="majorHAnsi" w:hAnsiTheme="majorHAnsi"/>
      <w:b/>
      <w:spacing w:val="-10"/>
    </w:rPr>
  </w:style>
  <w:style w:type="paragraph" w:customStyle="1" w:styleId="F42E907F9D5545BB923F3F2D2EDDD15D">
    <w:name w:val="F42E907F9D5545BB923F3F2D2EDDD15D"/>
    <w:rsid w:val="00E1192C"/>
  </w:style>
  <w:style w:type="paragraph" w:customStyle="1" w:styleId="1F6C9CF6E60F4F23B7ED26A0312019A2">
    <w:name w:val="1F6C9CF6E60F4F23B7ED26A0312019A2"/>
    <w:rsid w:val="00C64B75"/>
  </w:style>
  <w:style w:type="character" w:styleId="PlaceholderText">
    <w:name w:val="Placeholder Text"/>
    <w:basedOn w:val="DefaultParagraphFont"/>
    <w:uiPriority w:val="99"/>
    <w:semiHidden/>
    <w:rsid w:val="003A2981"/>
    <w:rPr>
      <w:color w:val="808080"/>
    </w:rPr>
  </w:style>
  <w:style w:type="paragraph" w:customStyle="1" w:styleId="66C00B9FD06E426EB4AB282E8BDC518C">
    <w:name w:val="66C00B9FD06E426EB4AB282E8BDC518C"/>
    <w:rsid w:val="00411FE5"/>
    <w:rPr>
      <w:lang w:val="sq-AL" w:eastAsia="sq-AL"/>
    </w:rPr>
  </w:style>
  <w:style w:type="paragraph" w:customStyle="1" w:styleId="72E6D9A437394E94BCF4FAEE6A3A1FB7">
    <w:name w:val="72E6D9A437394E94BCF4FAEE6A3A1FB7"/>
    <w:rsid w:val="00411FE5"/>
    <w:rPr>
      <w:lang w:val="sq-AL" w:eastAsia="sq-AL"/>
    </w:rPr>
  </w:style>
  <w:style w:type="paragraph" w:customStyle="1" w:styleId="59BFE78C8F7246F294B932B9FB52CA70">
    <w:name w:val="59BFE78C8F7246F294B932B9FB52CA70"/>
    <w:rsid w:val="00411FE5"/>
    <w:rPr>
      <w:lang w:val="sq-AL" w:eastAsia="sq-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customXml/itemProps2.xml><?xml version="1.0" encoding="utf-8"?>
<ds:datastoreItem xmlns:ds="http://schemas.openxmlformats.org/officeDocument/2006/customXml" ds:itemID="{5EA7E110-EDFF-4EC5-B5DF-ED84FA11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Publikimet TEMPLATE</Template>
  <TotalTime>1476</TotalTime>
  <Pages>6</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Grizli777</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INSTAT</dc:subject>
  <dc:creator>insalxh</dc:creator>
  <dc:description>Second Quarter 2024</dc:description>
  <cp:lastModifiedBy>Viki Hajnaj</cp:lastModifiedBy>
  <cp:revision>218</cp:revision>
  <cp:lastPrinted>2024-09-12T08:17:00Z</cp:lastPrinted>
  <dcterms:created xsi:type="dcterms:W3CDTF">2018-06-18T07:15:00Z</dcterms:created>
  <dcterms:modified xsi:type="dcterms:W3CDTF">2024-09-12T08:19:00Z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