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A8C8" w14:textId="77777777" w:rsidR="005A3CA6" w:rsidRDefault="005A3CA6"/>
    <w:p w14:paraId="44C3E5A9" w14:textId="77777777" w:rsidR="005A3CA6" w:rsidRDefault="005A3CA6"/>
    <w:p w14:paraId="2A4E588A" w14:textId="77777777" w:rsidR="005A3CA6" w:rsidRDefault="005A3CA6"/>
    <w:tbl>
      <w:tblPr>
        <w:tblStyle w:val="TableGrid"/>
        <w:tblW w:w="0" w:type="auto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351"/>
      </w:tblGrid>
      <w:tr w:rsidR="005A3CA6" w14:paraId="5F8965A9" w14:textId="77777777" w:rsidTr="005A3CA6">
        <w:trPr>
          <w:trHeight w:val="1979"/>
          <w:jc w:val="center"/>
        </w:trPr>
        <w:tc>
          <w:tcPr>
            <w:tcW w:w="8351" w:type="dxa"/>
            <w:shd w:val="clear" w:color="auto" w:fill="FBD4B4" w:themeFill="accent6" w:themeFillTint="66"/>
          </w:tcPr>
          <w:p w14:paraId="1AA77F4D" w14:textId="3B82C959" w:rsidR="005A3CA6" w:rsidRPr="003616FF" w:rsidRDefault="00F157B3" w:rsidP="00066D29">
            <w:pPr>
              <w:pStyle w:val="Default"/>
              <w:spacing w:before="120" w:after="120"/>
              <w:jc w:val="center"/>
              <w:rPr>
                <w:b/>
                <w:bCs/>
                <w:sz w:val="3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22"/>
              </w:rPr>
              <w:t>Statistikat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22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22"/>
              </w:rPr>
              <w:t>Kulturë</w:t>
            </w:r>
            <w:r w:rsidR="001B29BC">
              <w:rPr>
                <w:rFonts w:ascii="Times New Roman" w:hAnsi="Times New Roman" w:cs="Times New Roman"/>
                <w:b/>
                <w:bCs/>
                <w:sz w:val="36"/>
                <w:szCs w:val="22"/>
              </w:rPr>
              <w:t>s</w:t>
            </w:r>
            <w:proofErr w:type="spellEnd"/>
          </w:p>
          <w:p w14:paraId="26CB664B" w14:textId="77777777" w:rsidR="00066D29" w:rsidRDefault="005A3CA6" w:rsidP="00066D2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3616FF">
              <w:rPr>
                <w:rFonts w:ascii="Times New Roman" w:hAnsi="Times New Roman" w:cs="Times New Roman"/>
                <w:sz w:val="28"/>
              </w:rPr>
              <w:t>Metad</w:t>
            </w:r>
            <w:r w:rsidR="00066D29">
              <w:rPr>
                <w:rFonts w:ascii="Times New Roman" w:hAnsi="Times New Roman" w:cs="Times New Roman"/>
                <w:sz w:val="28"/>
              </w:rPr>
              <w:t xml:space="preserve">ata </w:t>
            </w:r>
            <w:proofErr w:type="spellStart"/>
            <w:r w:rsidR="00066D29">
              <w:rPr>
                <w:rFonts w:ascii="Times New Roman" w:hAnsi="Times New Roman" w:cs="Times New Roman"/>
                <w:sz w:val="28"/>
              </w:rPr>
              <w:t>Referenciale</w:t>
            </w:r>
            <w:proofErr w:type="spellEnd"/>
            <w:r w:rsidR="00066D29">
              <w:rPr>
                <w:rFonts w:ascii="Times New Roman" w:hAnsi="Times New Roman" w:cs="Times New Roman"/>
                <w:sz w:val="28"/>
              </w:rPr>
              <w:t xml:space="preserve"> në format Euro </w:t>
            </w:r>
            <w:r w:rsidRPr="003616FF">
              <w:rPr>
                <w:rFonts w:ascii="Times New Roman" w:hAnsi="Times New Roman" w:cs="Times New Roman"/>
                <w:sz w:val="28"/>
              </w:rPr>
              <w:t xml:space="preserve">SDMX Metadata Structure </w:t>
            </w:r>
          </w:p>
          <w:p w14:paraId="6420235C" w14:textId="77777777" w:rsidR="005A3CA6" w:rsidRPr="003616FF" w:rsidRDefault="005A3CA6" w:rsidP="00066D2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3616FF">
              <w:rPr>
                <w:rFonts w:ascii="Times New Roman" w:hAnsi="Times New Roman" w:cs="Times New Roman"/>
                <w:sz w:val="28"/>
              </w:rPr>
              <w:t>(ESMS)</w:t>
            </w:r>
          </w:p>
          <w:p w14:paraId="3FF971A4" w14:textId="77777777" w:rsidR="005A3CA6" w:rsidRDefault="005A3CA6" w:rsidP="00761472">
            <w:pPr>
              <w:jc w:val="center"/>
            </w:pPr>
            <w:r w:rsidRPr="003616FF">
              <w:rPr>
                <w:rFonts w:ascii="Times New Roman" w:hAnsi="Times New Roman" w:cs="Times New Roman"/>
                <w:sz w:val="36"/>
              </w:rPr>
              <w:t>INSTAT</w:t>
            </w:r>
          </w:p>
        </w:tc>
      </w:tr>
    </w:tbl>
    <w:p w14:paraId="350DF05E" w14:textId="77777777" w:rsidR="005A3CA6" w:rsidRDefault="005A3CA6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GB"/>
        </w:rPr>
        <w:id w:val="27854821"/>
        <w:docPartObj>
          <w:docPartGallery w:val="Table of Contents"/>
          <w:docPartUnique/>
        </w:docPartObj>
      </w:sdtPr>
      <w:sdtEndPr>
        <w:rPr>
          <w:rFonts w:eastAsiaTheme="minorEastAsia"/>
          <w:lang w:val="en-US"/>
        </w:rPr>
      </w:sdtEndPr>
      <w:sdtContent>
        <w:p w14:paraId="72CB162B" w14:textId="77777777" w:rsidR="006912E1" w:rsidRPr="00761472" w:rsidRDefault="006912E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761472">
            <w:rPr>
              <w:rFonts w:ascii="Times New Roman" w:hAnsi="Times New Roman" w:cs="Times New Roman"/>
              <w:color w:val="000000" w:themeColor="text1"/>
              <w:szCs w:val="24"/>
            </w:rPr>
            <w:t xml:space="preserve">Metadata </w:t>
          </w:r>
          <w:proofErr w:type="spellStart"/>
          <w:r w:rsidRPr="00761472">
            <w:rPr>
              <w:rFonts w:ascii="Times New Roman" w:hAnsi="Times New Roman" w:cs="Times New Roman"/>
              <w:color w:val="000000" w:themeColor="text1"/>
              <w:szCs w:val="24"/>
            </w:rPr>
            <w:t>Referenciale</w:t>
          </w:r>
          <w:proofErr w:type="spellEnd"/>
        </w:p>
        <w:p w14:paraId="4A15A470" w14:textId="77777777" w:rsidR="009476F0" w:rsidRDefault="00E7137D">
          <w:pPr>
            <w:pStyle w:val="TOC1"/>
            <w:tabs>
              <w:tab w:val="right" w:leader="dot" w:pos="10456"/>
            </w:tabs>
            <w:rPr>
              <w:noProof/>
            </w:rPr>
          </w:pPr>
          <w:r w:rsidRPr="0076147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912E1" w:rsidRPr="0076147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6147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3084888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1. Kontakt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_Toc63084888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2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3B5230C2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89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2. Përditësimi i metadatave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_Toc63084889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2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5B2554AC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0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3. Paraqitja statistikore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_Toc63084890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2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422E2E4A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1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4. Njësia matëse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_Toc63084891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4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00B2A4A1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2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5. Periudha e referencës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_Toc63084892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4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60625C80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3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6. Mandati institucional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_Toc63084893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4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38837431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4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7. Konfidencialiteti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_Toc63084894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4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260D4B00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5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8. Politika e botimit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_Toc63084895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5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6703189D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6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9. Shpeshtësia e shpërndarjes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_Toc63084896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5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7CD42229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7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10. Aksesi në të dhëna dhe qartësia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_Toc63084897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5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712F8B02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8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11. Manaxhimi i cilësisë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_Toc63084898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6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47F4BF57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899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12. Rëndësia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_Toc63084899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6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135D50F0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0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13. Saktësia dhe besueshmëria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_Toc63084900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7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7DF6C2FA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1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14. Afatet kohore dhe përpikmëria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_Toc63084901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7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7EA2EF12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2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15. Koherenca dhe Krahasueshmëria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_Toc63084902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7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4BBA884A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3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16. Kostoja dhe ngarkesa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_Toc63084903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8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4E0B575F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4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17. Rishikimi i të dhënave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_Toc63084904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8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2423C535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5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18. Përpunimi statistikor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_Toc63084905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8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0B515919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6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19. Komente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_Toc63084906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8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4AD3DB90" w14:textId="77777777" w:rsidR="009476F0" w:rsidRDefault="00502E83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4907" w:history="1">
            <w:r w:rsidR="009476F0" w:rsidRPr="00324FE7">
              <w:rPr>
                <w:rStyle w:val="Hyperlink"/>
                <w:rFonts w:ascii="Times New Roman" w:eastAsia="Times New Roman" w:hAnsi="Times New Roman" w:cs="Times New Roman"/>
                <w:noProof/>
                <w:lang w:val="sq-AL" w:eastAsia="sq-AL"/>
              </w:rPr>
              <w:t>Aneks</w:t>
            </w:r>
            <w:r w:rsidR="009476F0">
              <w:rPr>
                <w:noProof/>
                <w:webHidden/>
              </w:rPr>
              <w:tab/>
            </w:r>
            <w:r w:rsidR="009476F0">
              <w:rPr>
                <w:noProof/>
                <w:webHidden/>
              </w:rPr>
              <w:fldChar w:fldCharType="begin"/>
            </w:r>
            <w:r w:rsidR="009476F0">
              <w:rPr>
                <w:noProof/>
                <w:webHidden/>
              </w:rPr>
              <w:instrText xml:space="preserve"> PAGEREF _Toc63084907 \h </w:instrText>
            </w:r>
            <w:r w:rsidR="009476F0">
              <w:rPr>
                <w:noProof/>
                <w:webHidden/>
              </w:rPr>
            </w:r>
            <w:r w:rsidR="009476F0">
              <w:rPr>
                <w:noProof/>
                <w:webHidden/>
              </w:rPr>
              <w:fldChar w:fldCharType="separate"/>
            </w:r>
            <w:r w:rsidR="009476F0">
              <w:rPr>
                <w:noProof/>
                <w:webHidden/>
              </w:rPr>
              <w:t>8</w:t>
            </w:r>
            <w:r w:rsidR="009476F0">
              <w:rPr>
                <w:noProof/>
                <w:webHidden/>
              </w:rPr>
              <w:fldChar w:fldCharType="end"/>
            </w:r>
          </w:hyperlink>
        </w:p>
        <w:p w14:paraId="6E8BD04A" w14:textId="2E15EFA3" w:rsidR="006912E1" w:rsidRDefault="00E7137D">
          <w:r w:rsidRPr="0076147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4C29A80" w14:textId="77777777" w:rsidR="005A3CA6" w:rsidRDefault="005A3CA6"/>
    <w:p w14:paraId="38ADDE77" w14:textId="77777777" w:rsidR="006912E1" w:rsidRDefault="006912E1"/>
    <w:p w14:paraId="013C5D64" w14:textId="77777777" w:rsidR="006912E1" w:rsidRDefault="006912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64"/>
      </w:tblGrid>
      <w:tr w:rsidR="00247A56" w:rsidRPr="00430D9B" w14:paraId="7BF78BDE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03D776DC" w14:textId="77777777" w:rsidR="00247A56" w:rsidRPr="00430D9B" w:rsidRDefault="00247A56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</w:pPr>
            <w:bookmarkStart w:id="0" w:name="_Toc63084888"/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lastRenderedPageBreak/>
              <w:t>1.</w:t>
            </w:r>
            <w:r w:rsidR="00223F89"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 xml:space="preserve">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Kontakt</w:t>
            </w:r>
            <w:bookmarkEnd w:id="0"/>
          </w:p>
        </w:tc>
      </w:tr>
      <w:tr w:rsidR="001B29BC" w:rsidRPr="00430D9B" w14:paraId="319ACEB7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62BDC6F4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1.1. Institucioni i kontaktit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2586709C" w14:textId="4E9D2CD6" w:rsidR="001B29BC" w:rsidRPr="00430D9B" w:rsidRDefault="001B29BC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INSTAT,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Statistikave</w:t>
            </w:r>
            <w:proofErr w:type="spellEnd"/>
          </w:p>
        </w:tc>
      </w:tr>
      <w:tr w:rsidR="001B29BC" w:rsidRPr="00430D9B" w14:paraId="7BCAECEE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1AF9053F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1.2. Njësia e kontaktit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5E4AEF4B" w14:textId="7ECDEF5F" w:rsidR="001B29BC" w:rsidRPr="00430D9B" w:rsidRDefault="001B29BC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 w:rsidRPr="002148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Sektori i Zhvillimit t</w:t>
            </w:r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2148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 xml:space="preserve"> Statistikave Sociale, Drejtoria e Statistikave Sociale</w:t>
            </w:r>
          </w:p>
        </w:tc>
      </w:tr>
      <w:tr w:rsidR="001B29BC" w:rsidRPr="00430D9B" w14:paraId="3D7AE5BC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32F05AC0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1.3. Personi i kontaktit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49D64DFE" w14:textId="40A84BB2" w:rsidR="001B29BC" w:rsidRPr="00430D9B" w:rsidRDefault="00E44B89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Elda Muca</w:t>
            </w:r>
          </w:p>
        </w:tc>
      </w:tr>
      <w:tr w:rsidR="001B29BC" w:rsidRPr="00430D9B" w14:paraId="0B584A44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2ECC3CAF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1.4. Funksioni i personit të kontaktit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6C40C1D0" w14:textId="673E66A4" w:rsidR="001B29BC" w:rsidRPr="00430D9B" w:rsidRDefault="001B29BC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 w:rsidRPr="00D576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Specialist</w:t>
            </w:r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2148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 xml:space="preserve"> </w:t>
            </w:r>
            <w:r w:rsidRPr="00E83C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Sektorin e Zhvillimit t</w:t>
            </w:r>
            <w:r w:rsidRPr="00E8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83C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 xml:space="preserve"> Statistikave Sociale</w:t>
            </w:r>
          </w:p>
        </w:tc>
      </w:tr>
      <w:tr w:rsidR="001B29BC" w:rsidRPr="00430D9B" w14:paraId="6188755F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5525D65D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1.5. Adresa postare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279D8873" w14:textId="419FA480" w:rsidR="001B29BC" w:rsidRPr="00430D9B" w:rsidRDefault="001B29BC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Vllazën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Huta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Ndërtesa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35,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Hyrja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Tiranë,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Kodi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Postar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1017</w:t>
            </w:r>
          </w:p>
        </w:tc>
      </w:tr>
      <w:tr w:rsidR="001B29BC" w:rsidRPr="00430D9B" w14:paraId="666AA961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4B0BB64C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1.6. Adresa elektronike (e-mail)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1B5D53F5" w14:textId="136CD40B" w:rsidR="00047DFA" w:rsidRPr="005641BD" w:rsidRDefault="00502E83" w:rsidP="00E44B89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u w:val="single"/>
                <w:lang w:val="sq-AL"/>
              </w:rPr>
            </w:pPr>
            <w:hyperlink r:id="rId9" w:history="1">
              <w:r w:rsidR="00E44B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emuca</w:t>
              </w:r>
              <w:r w:rsidR="00E44B89" w:rsidRPr="005641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@instat.gov.al</w:t>
              </w:r>
            </w:hyperlink>
          </w:p>
        </w:tc>
      </w:tr>
      <w:tr w:rsidR="001B29BC" w:rsidRPr="00430D9B" w14:paraId="60631BAF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24F0E41A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1.7. Numri i telefonit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486B8892" w14:textId="74307498" w:rsidR="001B29BC" w:rsidRPr="00430D9B" w:rsidRDefault="001B29BC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+(355) 4 2222411 / +(355) 4 2233356</w:t>
            </w:r>
          </w:p>
        </w:tc>
      </w:tr>
      <w:tr w:rsidR="001B29BC" w:rsidRPr="00430D9B" w14:paraId="3A319E88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5529EFD3" w14:textId="77777777" w:rsidR="001B29BC" w:rsidRPr="00430D9B" w:rsidRDefault="001B29BC" w:rsidP="001B29BC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1.8. Numri i faksit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44E25708" w14:textId="01F5ED73" w:rsidR="001B29BC" w:rsidRPr="00430D9B" w:rsidRDefault="001B29BC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 w:rsidRPr="0062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+(355) 4 2228300</w:t>
            </w:r>
          </w:p>
        </w:tc>
      </w:tr>
      <w:tr w:rsidR="00247A56" w:rsidRPr="00430D9B" w14:paraId="1655644A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1C9B8BF8" w14:textId="77777777" w:rsidR="00247A56" w:rsidRPr="00430D9B" w:rsidRDefault="00247A56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" w:name="_Toc63084889"/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2. Përditësimi i metadatave</w:t>
            </w:r>
            <w:bookmarkEnd w:id="1"/>
          </w:p>
        </w:tc>
      </w:tr>
      <w:tr w:rsidR="00B15F7B" w:rsidRPr="00430D9B" w14:paraId="6E345F56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64F53163" w14:textId="77777777" w:rsidR="00247A56" w:rsidRPr="00430D9B" w:rsidRDefault="00247A56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2.1. Çertifikimi i fundit i metadatës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2D74A03F" w14:textId="18298E40" w:rsidR="00247A56" w:rsidRPr="00430D9B" w:rsidRDefault="00903157" w:rsidP="005802B1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29</w:t>
            </w:r>
            <w:r w:rsidR="001B29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.01.202</w:t>
            </w:r>
            <w:r w:rsidR="005802B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1</w:t>
            </w:r>
          </w:p>
        </w:tc>
      </w:tr>
      <w:tr w:rsidR="00B15F7B" w:rsidRPr="00430D9B" w14:paraId="2A98C228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6A3A46E6" w14:textId="77777777" w:rsidR="00247A56" w:rsidRPr="00430D9B" w:rsidRDefault="00247A56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2.2. Publikimi i fundit i metadatës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58BECBAE" w14:textId="1A76027B" w:rsidR="00247A56" w:rsidRPr="00430D9B" w:rsidRDefault="00D07D63" w:rsidP="00D07D63">
            <w:pPr>
              <w:spacing w:before="240" w:after="240" w:line="240" w:lineRule="auto"/>
              <w:ind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 xml:space="preserve"> </w:t>
            </w:r>
            <w:r w:rsidR="005802B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31.01.2020</w:t>
            </w:r>
          </w:p>
        </w:tc>
      </w:tr>
      <w:tr w:rsidR="00B15F7B" w:rsidRPr="00430D9B" w14:paraId="293A2BAC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415D3A3E" w14:textId="77777777" w:rsidR="00247A56" w:rsidRPr="00430D9B" w:rsidRDefault="00247A56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2.3. Përditësimi i fundit i metadatës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309041D4" w14:textId="61A45E04" w:rsidR="00247A56" w:rsidRPr="00430D9B" w:rsidRDefault="00903157" w:rsidP="00B37ABF">
            <w:pPr>
              <w:spacing w:before="240" w:after="24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29</w:t>
            </w:r>
            <w:r w:rsidR="005802B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q-AL"/>
              </w:rPr>
              <w:t>.01.2021</w:t>
            </w:r>
          </w:p>
        </w:tc>
      </w:tr>
      <w:tr w:rsidR="00247A56" w:rsidRPr="00430D9B" w14:paraId="16B9E271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37AA2E2A" w14:textId="77777777" w:rsidR="00247A56" w:rsidRPr="00430D9B" w:rsidRDefault="00247A56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2" w:name="_Toc63084890"/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3. Paraqitja statistikore</w:t>
            </w:r>
            <w:bookmarkEnd w:id="2"/>
          </w:p>
        </w:tc>
      </w:tr>
      <w:tr w:rsidR="00E43898" w:rsidRPr="00430D9B" w14:paraId="7FCBBF08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7430D314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3.1. Përshkrimi i të dhënave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05385B2" w14:textId="3837FF76" w:rsidR="006C1E70" w:rsidRDefault="006C1E70" w:rsidP="000628C5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Statistikat e kulturës përmbajnë të dhëna statistikore lidhur me aktivitetet kulturore të teatrove, muzeve, bibliotekave, baletit, ansamblit, qendrës kulturore të fëmijëve si dhe përmban të dhëna për numrin e shfaqjeve dhe vizitorëve në këto institucione arti</w:t>
            </w:r>
            <w:r w:rsidR="00B72D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dhe institucione të trashëgimisë kulturore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  <w:p w14:paraId="101E91CA" w14:textId="1CD4F1F8" w:rsidR="00E43898" w:rsidRPr="00430D9B" w:rsidRDefault="00941986" w:rsidP="000628C5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9419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Të dhënat e statistikave të kulturës i referohen vetëm institucioneve qendrore të cilat janë në varësi nga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9419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Ministria e Kulturës. Në institucionet qendrore të artit e të kulturës përfshihen: Teatri Kombëtar, Teatri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9419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Kombëtar i Operas, Baletit dhe Ansamblit Popullor, Teatri Kombëtar Eksperimental “Kujtim Spahivogli”,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9419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Qendra Kombëtare Kulturore për Fëmijë dhe Cirku Kombëtar.</w:t>
            </w:r>
          </w:p>
        </w:tc>
      </w:tr>
      <w:tr w:rsidR="00E43898" w:rsidRPr="00430D9B" w14:paraId="473E5CC5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466C8F24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3.2. Sistemi i klasifikimit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DBC2E05" w14:textId="28EC5565" w:rsidR="00E43898" w:rsidRPr="00430D9B" w:rsidRDefault="00ED1372" w:rsidP="00ED1372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Nuk Aplikohet.</w:t>
            </w:r>
          </w:p>
        </w:tc>
      </w:tr>
      <w:tr w:rsidR="00E43898" w:rsidRPr="00430D9B" w14:paraId="3142DD5E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3E79BB12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>3.3. Mbulimi i sektorit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DC30377" w14:textId="77777777" w:rsidR="003F0448" w:rsidRPr="003F0448" w:rsidRDefault="003F0448" w:rsidP="003F04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</w:p>
          <w:p w14:paraId="15EE2473" w14:textId="2D20984E" w:rsidR="003F0448" w:rsidRPr="003F0448" w:rsidRDefault="003F0448" w:rsidP="00627C5B">
            <w:pPr>
              <w:spacing w:after="0" w:line="240" w:lineRule="auto"/>
              <w:ind w:left="101" w:right="8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Treguesit kryes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orë që janë mbuluar nga moduli s</w:t>
            </w: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 xml:space="preserve">tatistikat e kulturës. </w:t>
            </w:r>
          </w:p>
          <w:p w14:paraId="6BF9086C" w14:textId="4D874204" w:rsidR="003F0448" w:rsidRPr="003F0448" w:rsidRDefault="003F0448" w:rsidP="003F044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Numri i shfaqjeve, premierave, spektatorëve në institucionet qendrore të artit</w:t>
            </w:r>
            <w:r w:rsidR="00665425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;</w:t>
            </w:r>
          </w:p>
          <w:p w14:paraId="6F520CED" w14:textId="3DB4E4B8" w:rsidR="003F0448" w:rsidRPr="003F0448" w:rsidRDefault="003F0448" w:rsidP="003F044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Numri i botimeve mbështetur nga Ministria e Kulturës</w:t>
            </w:r>
            <w:r w:rsidR="00665425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;</w:t>
            </w:r>
          </w:p>
          <w:p w14:paraId="39C6CB9F" w14:textId="7C9D683D" w:rsidR="003F0448" w:rsidRPr="003F0448" w:rsidRDefault="003F0448" w:rsidP="003F044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Numri i faqeve të digjitalizuara, frekuentueve në Bibliotekën Kombëtare</w:t>
            </w:r>
            <w:r w:rsidR="00665425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;</w:t>
            </w:r>
          </w:p>
          <w:p w14:paraId="1A7E5F6A" w14:textId="2DF3CA1C" w:rsidR="003F0448" w:rsidRPr="003F0448" w:rsidRDefault="003F0448" w:rsidP="003F044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Numri i vizitorëvë në parqe arkeologjike</w:t>
            </w:r>
            <w:r w:rsidR="00665425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;</w:t>
            </w:r>
          </w:p>
          <w:p w14:paraId="7D1F3860" w14:textId="6552A0E8" w:rsidR="003F0448" w:rsidRPr="003F0448" w:rsidRDefault="003F0448" w:rsidP="003F044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Numri i vizitorëve në muzetë kombëtarë, në kalatë që administrohen nga Ministria e Kulturës</w:t>
            </w:r>
            <w:r w:rsidR="00665425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;</w:t>
            </w:r>
          </w:p>
          <w:p w14:paraId="5F0A82A5" w14:textId="690C845D" w:rsidR="00E43898" w:rsidRPr="00ED1372" w:rsidRDefault="003F0448" w:rsidP="00ED1372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noProof/>
                <w:color w:val="000000"/>
                <w:lang w:val="sq-AL" w:eastAsia="sq-AL"/>
              </w:rPr>
            </w:pPr>
            <w:r w:rsidRPr="003F0448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Numri i monumenteve të futura në zona mbrojtëse, të vendosura në mbrojtje paraprake</w:t>
            </w:r>
            <w:r w:rsidR="00665425">
              <w:rPr>
                <w:rFonts w:ascii="Times New Roman" w:eastAsia="Batang" w:hAnsi="Times New Roman" w:cs="Times New Roman"/>
                <w:sz w:val="24"/>
                <w:szCs w:val="24"/>
                <w:lang w:val="sq-AL" w:eastAsia="ko-KR"/>
              </w:rPr>
              <w:t>;</w:t>
            </w:r>
          </w:p>
        </w:tc>
      </w:tr>
      <w:tr w:rsidR="00E43898" w:rsidRPr="00430D9B" w14:paraId="2718AAC2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6D33286D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3.4. Koncepte statistikore dhe përkufizime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3B8E4C8" w14:textId="77777777" w:rsidR="006965BE" w:rsidRPr="00110C62" w:rsidRDefault="006965B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val="sq-AL" w:eastAsia="sq-AL"/>
              </w:rPr>
              <w:t>Përkufizime</w:t>
            </w:r>
          </w:p>
          <w:p w14:paraId="3438E3EB" w14:textId="266C2996" w:rsidR="006965BE" w:rsidRPr="006965BE" w:rsidRDefault="006965B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Trashëgimi kulturore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është tërësia e pasurive kulturore, materiale dhe jomateriale, të një individi, grupi ose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shoqërie të trashëguar nga e kaluara që ruhet në të tashmen, për t’ua përçuar brezave në të ardhmen si pjesë 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pasurisë kombëtare të një vendi, të cilat shprehin vlerat, identitetin, njohuritë, traditat, besimet, si dhe pasuritë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kulturore të peizazhit.</w:t>
            </w:r>
          </w:p>
          <w:p w14:paraId="51A291B0" w14:textId="6C1B5BFD" w:rsidR="006965BE" w:rsidRPr="006965BE" w:rsidRDefault="006965BE" w:rsidP="00F024C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Muze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është institucioni i ruajtjes së kujtesës, në shërbim të shoqërisë dhe zhvillimit të saj, i hapur për publikun,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që konservon, studion, komunikon dhe prezanton trashëgiminë e luajtshme e të paluajtshme të njerëzimit dhe</w:t>
            </w:r>
            <w:r w:rsidR="00F02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mjedisit rrethues të tij, me qëllim edukimin, studimin, promovimin dhe argëtimin.</w:t>
            </w:r>
          </w:p>
          <w:p w14:paraId="476AF781" w14:textId="77777777" w:rsidR="00E43898" w:rsidRDefault="006965B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Monument kulture</w:t>
            </w:r>
            <w:r w:rsidRPr="006965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është objekti ose ndërtimi me vlera historiko-kulturore, që mbrohet nga shteti.</w:t>
            </w:r>
          </w:p>
          <w:p w14:paraId="55148F80" w14:textId="753884A0" w:rsidR="00A90D3E" w:rsidRPr="00A90D3E" w:rsidRDefault="00A90D3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Park arkeologjik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është territori i përcaktuar me kufij të qartë, që përfshin dëshmi të rëndësishme arkeologjike të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mbitokës, nëntokës e nënujit dhe bashkëprani të pasurive historike, peizazhit kulturor, i organizuar me elemente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të një muzeu në natyrë.</w:t>
            </w:r>
          </w:p>
          <w:p w14:paraId="65502B7F" w14:textId="5E375839" w:rsidR="00A90D3E" w:rsidRPr="00A90D3E" w:rsidRDefault="00A90D3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Pjesëmarrja mesatare e spektatorëve</w:t>
            </w:r>
            <w:r w:rsidRPr="00110C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për shfaqje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llogaritet me numrin total të spektatorëve në institucionet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kulturore me numrin e shfaqjeve të realizuara në këto institucione.</w:t>
            </w:r>
          </w:p>
          <w:p w14:paraId="3FCABB8C" w14:textId="55CDF929" w:rsidR="00A90D3E" w:rsidRPr="00A90D3E" w:rsidRDefault="00A90D3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Bibliotekat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janë institucione kulturore dhe informuese, që realizojnë hyrje të lirë në informacion në cilëndo formë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që ai të jetë depozituar. Ato grumbullojnë, ruajnë, përpunojnë dhe vënë në dispozicion të përdoruesve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koleksionet e veta që përmbajnë informacion në shërbim të formimit të tyre.</w:t>
            </w:r>
          </w:p>
          <w:p w14:paraId="4208E881" w14:textId="7C022876" w:rsidR="00A90D3E" w:rsidRPr="00A90D3E" w:rsidRDefault="00A90D3E" w:rsidP="0099586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Frekuentimi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llogatitet me numrin e shërbimeve/materialeve bibliotekare që merr çdo frekuentues i bibliotekës</w:t>
            </w:r>
            <w:r w:rsidR="009958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kombëtare.</w:t>
            </w:r>
          </w:p>
          <w:p w14:paraId="6ACC683D" w14:textId="77777777" w:rsidR="00A90D3E" w:rsidRPr="00A90D3E" w:rsidRDefault="00A90D3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Materiale bibliotekare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përfshijnë libra, artikuj, harta, disertacione, dhe materiale audiovizuale.</w:t>
            </w:r>
          </w:p>
          <w:p w14:paraId="3EC7E206" w14:textId="77777777" w:rsidR="00A90D3E" w:rsidRPr="00A90D3E" w:rsidRDefault="00A90D3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Tituj të rinj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përfshijnë ato materiale bibliotekare që hyjnë në bibliotekë gjatë një periudhe referuese.</w:t>
            </w:r>
          </w:p>
          <w:p w14:paraId="5EA2D029" w14:textId="1536CF62" w:rsidR="00A90D3E" w:rsidRPr="00430D9B" w:rsidRDefault="00A90D3E" w:rsidP="0075723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110C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q-AL" w:eastAsia="sq-AL"/>
              </w:rPr>
              <w:t>Ekzemplarë të rinj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përfshijnë numrin e njësive bibliotekare për çdo titull të ri.</w:t>
            </w:r>
          </w:p>
        </w:tc>
      </w:tr>
      <w:tr w:rsidR="00B15F7B" w:rsidRPr="00430D9B" w14:paraId="0F9C112F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785BA399" w14:textId="77777777" w:rsidR="00CD6D1C" w:rsidRPr="00430D9B" w:rsidRDefault="00CD6D1C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>3.5. Njësia statistikore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6EA01D97" w14:textId="0AD06F87" w:rsidR="00CD6D1C" w:rsidRPr="00A90573" w:rsidRDefault="00110C62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Njësia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është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shfaqja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kulturore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spektatorë</w:t>
            </w:r>
            <w:r w:rsidR="00C0268E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0268E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vizitorët</w:t>
            </w:r>
            <w:proofErr w:type="spellEnd"/>
            <w:r w:rsidR="00B72D62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3898" w:rsidRPr="00430D9B" w14:paraId="2AC12C9E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714BFE21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3.6. Popullata statistikore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B6131D3" w14:textId="22644356" w:rsidR="00E43898" w:rsidRPr="00430D9B" w:rsidRDefault="00C0268E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092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Popullata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statistikore i referohet: 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numri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të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shfaqjeve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, aktiviteteve  kulturore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dhe vizitorëve në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institucione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 e</w:t>
            </w:r>
            <w:r w:rsidRPr="006C1E7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arti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 dhe kultur</w:t>
            </w:r>
            <w:r w:rsidRPr="00A90D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</w:t>
            </w:r>
            <w:r w:rsidR="00B72D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dhe në institucionet e trashëgimisë kulturore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B15F7B" w:rsidRPr="00430D9B" w14:paraId="122003BF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4FD96F61" w14:textId="77777777" w:rsidR="00343A0D" w:rsidRPr="00430D9B" w:rsidRDefault="00343A0D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3.7. Zona e referencës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6392CF1A" w14:textId="4A5950EF" w:rsidR="00343A0D" w:rsidRPr="00A90573" w:rsidRDefault="001C57B7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714EF5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tatistikave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kulturës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mbulojnë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gjithë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territorin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vendit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3898" w:rsidRPr="00430D9B" w14:paraId="44B5FE6C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713C6E0E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3.8.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Mbulimi në kohë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6570DB7" w14:textId="79534FE7" w:rsidR="00E43898" w:rsidRPr="00A90573" w:rsidRDefault="00471778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Të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dhënat</w:t>
            </w:r>
            <w:proofErr w:type="spellEnd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B72D62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tatistikave</w:t>
            </w:r>
            <w:proofErr w:type="spellEnd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kulturës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datojnë</w:t>
            </w:r>
            <w:proofErr w:type="spellEnd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prej</w:t>
            </w:r>
            <w:proofErr w:type="spellEnd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vitit 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2017 dhe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vazhdim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5F7B" w:rsidRPr="00430D9B" w14:paraId="7E3585C4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14EE4004" w14:textId="77777777" w:rsidR="00343A0D" w:rsidRPr="00430D9B" w:rsidRDefault="00343A0D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3.9. Periudha bazë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131A9792" w14:textId="07F09E32" w:rsidR="00343A0D" w:rsidRPr="00A90573" w:rsidRDefault="00855B13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aplikohet</w:t>
            </w:r>
            <w:proofErr w:type="spellEnd"/>
            <w:r w:rsidR="001C57B7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5F7B" w:rsidRPr="00430D9B" w14:paraId="79AF7544" w14:textId="77777777" w:rsidTr="00430D9B">
        <w:trPr>
          <w:trHeight w:val="567"/>
        </w:trPr>
        <w:tc>
          <w:tcPr>
            <w:tcW w:w="2518" w:type="dxa"/>
            <w:shd w:val="clear" w:color="auto" w:fill="FBD4B4" w:themeFill="accent6" w:themeFillTint="66"/>
            <w:noWrap/>
            <w:vAlign w:val="center"/>
            <w:hideMark/>
          </w:tcPr>
          <w:p w14:paraId="6659A637" w14:textId="77777777" w:rsidR="00343A0D" w:rsidRPr="00430D9B" w:rsidRDefault="00343A0D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3" w:name="_Toc63084891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4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Njësia matëse</w:t>
            </w:r>
            <w:bookmarkEnd w:id="3"/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184A691E" w14:textId="0C2D4429" w:rsidR="00343A0D" w:rsidRPr="00A90573" w:rsidRDefault="00855B13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Numri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gjithsej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shfaqjeve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kulturore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Numri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gjithsej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spektatorëve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Pjesëmarrja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mesatare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spektatorëve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shfaqje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Numri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vizitorëve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gjithsej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muze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parqe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arkeologjike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056D2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umri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frekuentuesve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="00B72D62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ibliotekë</w:t>
            </w:r>
            <w:proofErr w:type="spellEnd"/>
            <w:r w:rsidR="004056D2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5F7B" w:rsidRPr="00430D9B" w14:paraId="5AF0D140" w14:textId="77777777" w:rsidTr="00430D9B">
        <w:trPr>
          <w:trHeight w:val="567"/>
        </w:trPr>
        <w:tc>
          <w:tcPr>
            <w:tcW w:w="2518" w:type="dxa"/>
            <w:shd w:val="clear" w:color="auto" w:fill="FBD4B4" w:themeFill="accent6" w:themeFillTint="66"/>
            <w:noWrap/>
            <w:vAlign w:val="center"/>
            <w:hideMark/>
          </w:tcPr>
          <w:p w14:paraId="5B32BBF2" w14:textId="77777777" w:rsidR="00343A0D" w:rsidRPr="00430D9B" w:rsidRDefault="00343A0D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4" w:name="_Toc63084892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5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Periudha e referencës</w:t>
            </w:r>
            <w:bookmarkEnd w:id="4"/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446111B3" w14:textId="659DD3C4" w:rsidR="00343A0D" w:rsidRPr="00471778" w:rsidRDefault="00964769" w:rsidP="005802B1">
            <w:pPr>
              <w:spacing w:before="20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64769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Periudha referuese e informacionit statistikor mbi </w:t>
            </w:r>
            <w:r w:rsidR="008624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tatistikat e kultur</w:t>
            </w:r>
            <w:r w:rsidRPr="001C57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</w:t>
            </w:r>
            <w:r w:rsidRPr="002148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964769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është tremujore. </w:t>
            </w:r>
            <w:r w:rsidR="00471778" w:rsidRPr="00471778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Ky raport i referohet viti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</w:t>
            </w:r>
            <w:r w:rsidR="00471778" w:rsidRPr="00471778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20</w:t>
            </w:r>
            <w:r w:rsidR="005802B1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</w:t>
            </w:r>
            <w:r w:rsidR="00471778" w:rsidRPr="00471778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.</w:t>
            </w:r>
          </w:p>
        </w:tc>
      </w:tr>
      <w:tr w:rsidR="00343A0D" w:rsidRPr="00430D9B" w14:paraId="66C8F0C0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63985A31" w14:textId="77777777" w:rsidR="00343A0D" w:rsidRPr="00430D9B" w:rsidRDefault="00343A0D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5" w:name="_Toc63084893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6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Mandati institucional</w:t>
            </w:r>
            <w:bookmarkEnd w:id="5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 </w:t>
            </w:r>
          </w:p>
        </w:tc>
      </w:tr>
      <w:tr w:rsidR="00E43898" w:rsidRPr="00430D9B" w14:paraId="5B48A149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45C8E59E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6.1. Akte ligjore dhe marrëveshje të tjera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87F2076" w14:textId="36805DEA" w:rsidR="00964769" w:rsidRDefault="00964769" w:rsidP="00A90573">
            <w:pPr>
              <w:spacing w:before="20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prodhimin</w:t>
            </w:r>
            <w:proofErr w:type="spellEnd"/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treg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uesve </w:t>
            </w:r>
            <w:r w:rsidRPr="00964769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mbi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Statistikat e kultur</w:t>
            </w:r>
            <w:r w:rsidRPr="001C57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00D2509" w14:textId="77777777" w:rsidR="00964769" w:rsidRPr="008507F2" w:rsidRDefault="00502E83" w:rsidP="00964769">
            <w:pPr>
              <w:pStyle w:val="ListParagraph"/>
              <w:numPr>
                <w:ilvl w:val="0"/>
                <w:numId w:val="31"/>
              </w:numPr>
              <w:ind w:right="86"/>
              <w:jc w:val="both"/>
              <w:rPr>
                <w:rStyle w:val="InternetLink"/>
              </w:rPr>
            </w:pPr>
            <w:hyperlink r:id="rId10">
              <w:proofErr w:type="spellStart"/>
              <w:r w:rsidR="00964769" w:rsidRPr="008507F2">
                <w:rPr>
                  <w:rStyle w:val="InternetLink"/>
                </w:rPr>
                <w:t>Ligji</w:t>
              </w:r>
              <w:proofErr w:type="spellEnd"/>
              <w:r w:rsidR="00964769" w:rsidRPr="008507F2">
                <w:rPr>
                  <w:rStyle w:val="InternetLink"/>
                </w:rPr>
                <w:t xml:space="preserve"> Nr.17/2018 “</w:t>
              </w:r>
              <w:proofErr w:type="spellStart"/>
              <w:r w:rsidR="00964769" w:rsidRPr="008507F2">
                <w:rPr>
                  <w:rStyle w:val="InternetLink"/>
                </w:rPr>
                <w:t>Për</w:t>
              </w:r>
              <w:proofErr w:type="spellEnd"/>
              <w:r w:rsidR="00964769" w:rsidRPr="008507F2">
                <w:rPr>
                  <w:rStyle w:val="InternetLink"/>
                </w:rPr>
                <w:t xml:space="preserve"> </w:t>
              </w:r>
              <w:proofErr w:type="spellStart"/>
              <w:r w:rsidR="00964769" w:rsidRPr="008507F2">
                <w:rPr>
                  <w:rStyle w:val="InternetLink"/>
                </w:rPr>
                <w:t>Statistikat</w:t>
              </w:r>
              <w:proofErr w:type="spellEnd"/>
              <w:r w:rsidR="00964769" w:rsidRPr="008507F2">
                <w:rPr>
                  <w:rStyle w:val="InternetLink"/>
                </w:rPr>
                <w:t xml:space="preserve"> </w:t>
              </w:r>
              <w:proofErr w:type="spellStart"/>
              <w:r w:rsidR="00964769" w:rsidRPr="008507F2">
                <w:rPr>
                  <w:rStyle w:val="InternetLink"/>
                </w:rPr>
                <w:t>Zyrtare</w:t>
              </w:r>
              <w:proofErr w:type="spellEnd"/>
              <w:r w:rsidR="00964769" w:rsidRPr="008507F2">
                <w:rPr>
                  <w:rStyle w:val="InternetLink"/>
                </w:rPr>
                <w:t>”</w:t>
              </w:r>
            </w:hyperlink>
          </w:p>
          <w:p w14:paraId="2352B6C5" w14:textId="1336EBF3" w:rsidR="00964769" w:rsidRPr="00964769" w:rsidRDefault="00502E83" w:rsidP="008F5DCC">
            <w:pPr>
              <w:pStyle w:val="ListParagraph"/>
              <w:numPr>
                <w:ilvl w:val="0"/>
                <w:numId w:val="31"/>
              </w:numPr>
              <w:ind w:right="86"/>
              <w:jc w:val="both"/>
            </w:pPr>
            <w:hyperlink r:id="rId11">
              <w:proofErr w:type="spellStart"/>
              <w:r w:rsidR="00964769" w:rsidRPr="008F5DCC">
                <w:rPr>
                  <w:rFonts w:eastAsia="Calibri"/>
                  <w:color w:val="0000FF"/>
                  <w:u w:val="single"/>
                </w:rPr>
                <w:t>Programi</w:t>
              </w:r>
              <w:proofErr w:type="spellEnd"/>
              <w:r w:rsidR="00964769" w:rsidRPr="008F5DCC">
                <w:rPr>
                  <w:rFonts w:eastAsia="Calibri"/>
                  <w:color w:val="0000FF"/>
                  <w:u w:val="single"/>
                </w:rPr>
                <w:t xml:space="preserve"> </w:t>
              </w:r>
              <w:proofErr w:type="spellStart"/>
              <w:r w:rsidR="00964769" w:rsidRPr="008F5DCC">
                <w:rPr>
                  <w:rFonts w:eastAsia="Calibri"/>
                  <w:color w:val="0000FF"/>
                  <w:u w:val="single"/>
                </w:rPr>
                <w:t>Kombëtar</w:t>
              </w:r>
              <w:proofErr w:type="spellEnd"/>
              <w:r w:rsidR="00964769" w:rsidRPr="008F5DCC">
                <w:rPr>
                  <w:rFonts w:eastAsia="Calibri"/>
                  <w:color w:val="0000FF"/>
                  <w:u w:val="single"/>
                </w:rPr>
                <w:t xml:space="preserve"> i </w:t>
              </w:r>
              <w:proofErr w:type="spellStart"/>
              <w:r w:rsidR="00964769" w:rsidRPr="008F5DCC">
                <w:rPr>
                  <w:rFonts w:eastAsia="Calibri"/>
                  <w:color w:val="0000FF"/>
                  <w:u w:val="single"/>
                </w:rPr>
                <w:t>Statistikave</w:t>
              </w:r>
              <w:proofErr w:type="spellEnd"/>
              <w:r w:rsidR="00964769" w:rsidRPr="008F5DCC">
                <w:rPr>
                  <w:rFonts w:eastAsia="Calibri"/>
                  <w:color w:val="0000FF"/>
                  <w:u w:val="single"/>
                </w:rPr>
                <w:t xml:space="preserve"> </w:t>
              </w:r>
              <w:proofErr w:type="spellStart"/>
              <w:r w:rsidR="00964769" w:rsidRPr="008F5DCC">
                <w:rPr>
                  <w:rFonts w:eastAsia="Calibri"/>
                  <w:color w:val="0000FF"/>
                  <w:u w:val="single"/>
                </w:rPr>
                <w:t>Zyrtare</w:t>
              </w:r>
              <w:proofErr w:type="spellEnd"/>
              <w:r w:rsidR="00964769" w:rsidRPr="008F5DCC">
                <w:rPr>
                  <w:rFonts w:eastAsia="Calibri"/>
                  <w:color w:val="0000FF"/>
                  <w:u w:val="single"/>
                </w:rPr>
                <w:t>, 2017-2021</w:t>
              </w:r>
            </w:hyperlink>
          </w:p>
          <w:p w14:paraId="471DBF81" w14:textId="17890272" w:rsidR="008F5DCC" w:rsidRPr="00ED1372" w:rsidRDefault="008F5DCC" w:rsidP="00A90573">
            <w:pPr>
              <w:pStyle w:val="ListParagraph"/>
              <w:numPr>
                <w:ilvl w:val="0"/>
                <w:numId w:val="31"/>
              </w:numPr>
              <w:spacing w:after="200"/>
              <w:ind w:right="86"/>
              <w:jc w:val="both"/>
              <w:rPr>
                <w:noProof/>
                <w:color w:val="000000"/>
                <w:lang w:val="sq-AL" w:eastAsia="sq-AL"/>
              </w:rPr>
            </w:pPr>
            <w:r w:rsidRPr="00ED1372">
              <w:t xml:space="preserve">Memorandum me </w:t>
            </w:r>
            <w:proofErr w:type="spellStart"/>
            <w:r w:rsidRPr="00ED1372">
              <w:t>Ministrinë</w:t>
            </w:r>
            <w:proofErr w:type="spellEnd"/>
            <w:r w:rsidRPr="00ED1372">
              <w:t xml:space="preserve"> e </w:t>
            </w:r>
            <w:proofErr w:type="spellStart"/>
            <w:r w:rsidRPr="00ED1372">
              <w:t>Kulturës</w:t>
            </w:r>
            <w:proofErr w:type="spellEnd"/>
            <w:r w:rsidRPr="00ED1372">
              <w:rPr>
                <w:noProof/>
                <w:color w:val="000000"/>
                <w:lang w:val="sq-AL" w:eastAsia="sq-AL"/>
              </w:rPr>
              <w:t xml:space="preserve"> </w:t>
            </w:r>
          </w:p>
        </w:tc>
      </w:tr>
      <w:tr w:rsidR="00B15F7B" w:rsidRPr="00430D9B" w14:paraId="05C9DE4C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0C605D2B" w14:textId="77777777" w:rsidR="00EA5F3D" w:rsidRPr="00430D9B" w:rsidRDefault="00EA5F3D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6.2. Shkëmbimi i të dhënave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67E2E075" w14:textId="1A9EE6A5" w:rsidR="00EA5F3D" w:rsidRPr="00A90573" w:rsidRDefault="00964769" w:rsidP="00A90573">
            <w:pPr>
              <w:spacing w:before="20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Nuk aplikohet. INSTAT </w:t>
            </w:r>
            <w:r w:rsidR="00ED1372"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nuk </w:t>
            </w:r>
            <w:r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transmeton të dhëna mbi </w:t>
            </w:r>
            <w:r w:rsidR="00E35304"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</w:t>
            </w:r>
            <w:r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tatistikat e kulturës në Eurostat.</w:t>
            </w:r>
          </w:p>
        </w:tc>
      </w:tr>
      <w:tr w:rsidR="00EA5F3D" w:rsidRPr="00430D9B" w14:paraId="39F96530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2C61AB67" w14:textId="77777777" w:rsidR="00EA5F3D" w:rsidRPr="00430D9B" w:rsidRDefault="00EA5F3D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6" w:name="_Toc63084894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7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Konfidencialiteti</w:t>
            </w:r>
            <w:bookmarkEnd w:id="6"/>
          </w:p>
        </w:tc>
      </w:tr>
      <w:tr w:rsidR="00E43898" w:rsidRPr="00430D9B" w14:paraId="50ACFC93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2FABA2F4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7.1. Konfidencialiteti - politika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6972D2D" w14:textId="7541E63A" w:rsidR="00E43898" w:rsidRPr="00A90573" w:rsidRDefault="00964769" w:rsidP="00A90573">
            <w:pPr>
              <w:spacing w:before="20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Të dhënat konsiderohen rreptësisht konfidenciale dhe përdoren vetëm për qëllime statistikore e kërkime shkencore në përputhje me Ligj Nr. 17/2018 PËR STATISTIKAT ZYRTARE, si dhe Ligjin Nr. 9887, datë 10.03.2008 "Mbrojtja e të Dhënave Personale". Neni 31 i ligjit për statistikat zyrtare përcakton qartë që i gjithë informacioni statistikor i mbledhur nga INSTAT është konfidencial dhe mund të përdoret ose botohet vetëm në tabela përmbledhëse të tilla që nuk identifikojnë njësinë burim të informacionit. Identifikim i drejtpërdrejtë quhet kur një njësi statistikore identifikohet drejtpërdrejt nga emri, adresa ose ndonjë numër identifikimi i njohur zyrtarisht. Kur përpunimi i të dhënave kryhet në mënyrë të tillë që mundëson identifikimin e subjektit të të dhënave, të dhënat duhet të kodohen menjëherë, në mënyrë që subjektet të mos jenë më të identifikueshëm.</w:t>
            </w:r>
          </w:p>
        </w:tc>
      </w:tr>
      <w:tr w:rsidR="00E43898" w:rsidRPr="00430D9B" w14:paraId="05DB105D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17627C74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7.2. Konfidencialiteti - trajtimi i të dhënave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84D3AF1" w14:textId="0D6A5C9C" w:rsidR="00E43898" w:rsidRPr="00A90573" w:rsidRDefault="00FE22B5" w:rsidP="00A90573">
            <w:pPr>
              <w:spacing w:before="20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Të dhënat publikohen në nivel të agreguar. Të dhënat nuk publikohen asnjëherë në nivel individual.</w:t>
            </w:r>
          </w:p>
        </w:tc>
      </w:tr>
      <w:tr w:rsidR="00384D79" w:rsidRPr="00430D9B" w14:paraId="29EE3839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400F66F9" w14:textId="77777777" w:rsidR="00384D79" w:rsidRPr="00430D9B" w:rsidRDefault="00384D79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7" w:name="_Toc63084895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>8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 xml:space="preserve"> Politika e botimit</w:t>
            </w:r>
            <w:bookmarkEnd w:id="7"/>
          </w:p>
        </w:tc>
      </w:tr>
      <w:tr w:rsidR="00E43898" w:rsidRPr="00430D9B" w14:paraId="372764E2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32EFAD69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8.1. Kalendari i publikimeve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FDC72A8" w14:textId="5284A623" w:rsidR="00E43898" w:rsidRPr="00A90573" w:rsidRDefault="00F157B3" w:rsidP="00A90573">
            <w:pPr>
              <w:spacing w:before="200" w:line="240" w:lineRule="auto"/>
              <w:ind w:left="101" w:right="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A9057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Njoftimet në lidhje me shpërndarjen e statistikave janë botuar në kalendarin e publikimit, i cili është në dispozicion në faqen e internetit. Njoftime dhe vonesat janë para-njoftuar në këtë kalendar. Në rastin e vonesave specifikohet data e publikimit të ardhshëm si dhe shpjegimi lidhur me arsyet e vonesave.</w:t>
            </w:r>
          </w:p>
        </w:tc>
      </w:tr>
      <w:tr w:rsidR="00E43898" w:rsidRPr="00430D9B" w14:paraId="263B8797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7D56015F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8.2. Aksesi në kalendarin e publikimeve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77FA075" w14:textId="7F274E02" w:rsidR="00E43898" w:rsidRPr="00F157B3" w:rsidRDefault="00502E83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hyperlink r:id="rId12" w:history="1">
              <w:proofErr w:type="spellStart"/>
              <w:r w:rsidR="003E48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Kalendar</w:t>
              </w:r>
              <w:proofErr w:type="spellEnd"/>
              <w:r w:rsidR="003E48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i </w:t>
              </w:r>
              <w:proofErr w:type="spellStart"/>
              <w:r w:rsidR="003E48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Publikimeve</w:t>
              </w:r>
              <w:proofErr w:type="spellEnd"/>
            </w:hyperlink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>internetit</w:t>
            </w:r>
            <w:proofErr w:type="spellEnd"/>
            <w:r w:rsidR="00F157B3"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INSTAT.</w:t>
            </w:r>
          </w:p>
        </w:tc>
      </w:tr>
      <w:tr w:rsidR="00E43898" w:rsidRPr="00430D9B" w14:paraId="08917584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4CD7296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8.3. Aksesi i përdoruesve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7A68BED" w14:textId="77777777" w:rsidR="00494EE8" w:rsidRDefault="00F157B3" w:rsidP="00494EE8">
            <w:pPr>
              <w:spacing w:before="240" w:after="0" w:line="240" w:lineRule="auto"/>
              <w:ind w:left="10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Në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nenin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34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Nr. 17/2018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Statistikat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statistikat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shpërndahen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përdoruesit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kenë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drejtë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menjëhershme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dhe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barabartë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përdoren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format e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mundshme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medias, INSTAT-i dhe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agjencitë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në program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përgjegjësitë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shpërndarjen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kërkojnë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përmbushin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individi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dhëna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pabotuara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Kanalet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përdoruesit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marrin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rezultatet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F157B3">
              <w:rPr>
                <w:rFonts w:ascii="Times New Roman" w:hAnsi="Times New Roman" w:cs="Times New Roman"/>
                <w:sz w:val="24"/>
                <w:szCs w:val="24"/>
              </w:rPr>
              <w:t xml:space="preserve"> poshtë:</w:t>
            </w:r>
          </w:p>
          <w:p w14:paraId="6A0B49F3" w14:textId="6047119A" w:rsidR="00F157B3" w:rsidRPr="00494EE8" w:rsidRDefault="000E59A9" w:rsidP="00494EE8">
            <w:pPr>
              <w:pStyle w:val="ListParagraph"/>
              <w:numPr>
                <w:ilvl w:val="0"/>
                <w:numId w:val="33"/>
              </w:numPr>
              <w:spacing w:before="240"/>
              <w:ind w:right="86"/>
              <w:jc w:val="both"/>
            </w:pPr>
            <w:proofErr w:type="spellStart"/>
            <w:r>
              <w:t>Faqeweb</w:t>
            </w:r>
            <w:proofErr w:type="spellEnd"/>
            <w:r>
              <w:t xml:space="preserve"> – </w:t>
            </w:r>
            <w:proofErr w:type="spellStart"/>
            <w:r>
              <w:t>publikim</w:t>
            </w:r>
            <w:proofErr w:type="spellEnd"/>
            <w:r>
              <w:t xml:space="preserve"> në internet;</w:t>
            </w:r>
          </w:p>
          <w:p w14:paraId="5E7C4B47" w14:textId="74FAA838" w:rsidR="00F157B3" w:rsidRPr="00494EE8" w:rsidRDefault="000E59A9" w:rsidP="00494EE8">
            <w:pPr>
              <w:pStyle w:val="ListParagraph"/>
              <w:numPr>
                <w:ilvl w:val="0"/>
                <w:numId w:val="33"/>
              </w:numPr>
              <w:spacing w:after="240"/>
              <w:ind w:right="86"/>
              <w:jc w:val="both"/>
            </w:pPr>
            <w:proofErr w:type="spellStart"/>
            <w:r>
              <w:t>Kërkesat</w:t>
            </w:r>
            <w:proofErr w:type="spellEnd"/>
            <w:r>
              <w:t xml:space="preserve"> e </w:t>
            </w:r>
            <w:proofErr w:type="spellStart"/>
            <w:r>
              <w:t>shkruara</w:t>
            </w:r>
            <w:proofErr w:type="spellEnd"/>
            <w:r>
              <w:t>;</w:t>
            </w:r>
          </w:p>
          <w:p w14:paraId="5C250B7D" w14:textId="6CE634E2" w:rsidR="00F157B3" w:rsidRPr="00494EE8" w:rsidRDefault="00F157B3" w:rsidP="00494EE8">
            <w:pPr>
              <w:pStyle w:val="ListParagraph"/>
              <w:numPr>
                <w:ilvl w:val="0"/>
                <w:numId w:val="33"/>
              </w:numPr>
              <w:spacing w:after="240"/>
              <w:ind w:right="86"/>
              <w:jc w:val="both"/>
            </w:pPr>
            <w:proofErr w:type="spellStart"/>
            <w:r w:rsidRPr="00494EE8">
              <w:t>Publikimet</w:t>
            </w:r>
            <w:proofErr w:type="spellEnd"/>
            <w:r w:rsidRPr="00494EE8">
              <w:t xml:space="preserve"> </w:t>
            </w:r>
            <w:r w:rsidR="00494EE8">
              <w:t xml:space="preserve">e </w:t>
            </w:r>
            <w:proofErr w:type="spellStart"/>
            <w:r w:rsidR="00494EE8">
              <w:t>Statistikave</w:t>
            </w:r>
            <w:proofErr w:type="spellEnd"/>
            <w:r w:rsidR="009476F0">
              <w:t xml:space="preserve"> t</w:t>
            </w:r>
            <w:r w:rsidR="008624BF">
              <w:t xml:space="preserve">ë </w:t>
            </w:r>
            <w:proofErr w:type="spellStart"/>
            <w:r w:rsidR="008624BF">
              <w:t>Kulturës</w:t>
            </w:r>
            <w:proofErr w:type="spellEnd"/>
            <w:r w:rsidR="000E59A9">
              <w:t>;</w:t>
            </w:r>
          </w:p>
          <w:p w14:paraId="68B1D050" w14:textId="21C127BD" w:rsidR="00E43898" w:rsidRPr="00494EE8" w:rsidRDefault="00502E83" w:rsidP="00222EFD">
            <w:pPr>
              <w:pStyle w:val="ListParagraph"/>
              <w:numPr>
                <w:ilvl w:val="0"/>
                <w:numId w:val="33"/>
              </w:numPr>
              <w:spacing w:after="240"/>
              <w:ind w:right="86"/>
              <w:jc w:val="both"/>
              <w:rPr>
                <w:noProof/>
                <w:color w:val="000000"/>
                <w:lang w:val="sq-AL" w:eastAsia="sq-AL"/>
              </w:rPr>
            </w:pPr>
            <w:hyperlink r:id="rId13" w:history="1">
              <w:r w:rsidR="008624BF" w:rsidRPr="00665425">
                <w:rPr>
                  <w:rStyle w:val="Hyperlink"/>
                </w:rPr>
                <w:t xml:space="preserve">Kërkesa </w:t>
              </w:r>
              <w:proofErr w:type="spellStart"/>
              <w:r w:rsidR="008624BF" w:rsidRPr="00665425">
                <w:rPr>
                  <w:rStyle w:val="Hyperlink"/>
                </w:rPr>
                <w:t>për</w:t>
              </w:r>
              <w:proofErr w:type="spellEnd"/>
              <w:r w:rsidR="008624BF" w:rsidRPr="00665425">
                <w:rPr>
                  <w:rStyle w:val="Hyperlink"/>
                </w:rPr>
                <w:t xml:space="preserve"> të </w:t>
              </w:r>
              <w:proofErr w:type="spellStart"/>
              <w:r w:rsidR="008624BF" w:rsidRPr="00665425">
                <w:rPr>
                  <w:rStyle w:val="Hyperlink"/>
                </w:rPr>
                <w:t>dhëna</w:t>
              </w:r>
              <w:proofErr w:type="spellEnd"/>
            </w:hyperlink>
            <w:r w:rsidR="008624BF">
              <w:t xml:space="preserve">, </w:t>
            </w:r>
            <w:proofErr w:type="spellStart"/>
            <w:r w:rsidR="008624BF">
              <w:t>seksioni</w:t>
            </w:r>
            <w:proofErr w:type="spellEnd"/>
            <w:r w:rsidR="008624BF">
              <w:t xml:space="preserve"> </w:t>
            </w:r>
            <w:proofErr w:type="spellStart"/>
            <w:r w:rsidR="008624BF">
              <w:t>për</w:t>
            </w:r>
            <w:proofErr w:type="spellEnd"/>
            <w:r w:rsidR="008624BF">
              <w:t xml:space="preserve"> </w:t>
            </w:r>
            <w:proofErr w:type="spellStart"/>
            <w:r w:rsidR="008624BF">
              <w:t>përdoruesit</w:t>
            </w:r>
            <w:proofErr w:type="spellEnd"/>
            <w:r w:rsidR="008624BF">
              <w:t xml:space="preserve"> e </w:t>
            </w:r>
            <w:proofErr w:type="spellStart"/>
            <w:r w:rsidR="008624BF">
              <w:t>jashtëm</w:t>
            </w:r>
            <w:proofErr w:type="spellEnd"/>
            <w:r w:rsidR="000E59A9">
              <w:t>.</w:t>
            </w:r>
          </w:p>
        </w:tc>
      </w:tr>
      <w:tr w:rsidR="00B15F7B" w:rsidRPr="00430D9B" w14:paraId="40EECDA7" w14:textId="77777777" w:rsidTr="00430D9B">
        <w:trPr>
          <w:trHeight w:val="567"/>
        </w:trPr>
        <w:tc>
          <w:tcPr>
            <w:tcW w:w="2518" w:type="dxa"/>
            <w:shd w:val="clear" w:color="auto" w:fill="FBD4B4" w:themeFill="accent6" w:themeFillTint="66"/>
            <w:noWrap/>
            <w:vAlign w:val="center"/>
            <w:hideMark/>
          </w:tcPr>
          <w:p w14:paraId="4F56045F" w14:textId="77777777" w:rsidR="007B1894" w:rsidRPr="00430D9B" w:rsidRDefault="007B1894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8" w:name="_Toc63084896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9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Shpeshtësia e shpërndarjes</w:t>
            </w:r>
            <w:bookmarkEnd w:id="8"/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31F28BED" w14:textId="254E3BE2" w:rsidR="007B1894" w:rsidRPr="00B24CD3" w:rsidRDefault="00263968" w:rsidP="00B24CD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>Statistikat</w:t>
            </w:r>
            <w:proofErr w:type="spellEnd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24CD3" w:rsidRPr="00B24CD3"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="00B24CD3" w:rsidRPr="00B2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>publikohen</w:t>
            </w:r>
            <w:proofErr w:type="spellEnd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>periudha</w:t>
            </w:r>
            <w:proofErr w:type="spellEnd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 xml:space="preserve"> kohore </w:t>
            </w:r>
            <w:proofErr w:type="spellStart"/>
            <w:r w:rsidRPr="00B24CD3">
              <w:rPr>
                <w:rFonts w:ascii="Times New Roman" w:hAnsi="Times New Roman" w:cs="Times New Roman"/>
                <w:sz w:val="24"/>
                <w:szCs w:val="24"/>
              </w:rPr>
              <w:t>tremujore</w:t>
            </w:r>
            <w:proofErr w:type="spellEnd"/>
            <w:r w:rsidR="00B24CD3" w:rsidRPr="00B2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894" w:rsidRPr="00430D9B" w14:paraId="5170D39E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24544F3E" w14:textId="77777777" w:rsidR="007B1894" w:rsidRPr="00430D9B" w:rsidRDefault="007B1894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q-AL" w:eastAsia="sq-AL"/>
              </w:rPr>
            </w:pPr>
            <w:bookmarkStart w:id="9" w:name="_Toc63084897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10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Aksesi në të dhëna dhe qartësia</w:t>
            </w:r>
            <w:bookmarkEnd w:id="9"/>
          </w:p>
        </w:tc>
      </w:tr>
      <w:tr w:rsidR="00E43898" w:rsidRPr="00430D9B" w14:paraId="4E616E5A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707322EC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10.1. Njoftim për media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C0F9F5D" w14:textId="72FCF75B" w:rsidR="00E43898" w:rsidRPr="00275DAC" w:rsidRDefault="00275DAC" w:rsidP="003C07E9">
            <w:pPr>
              <w:spacing w:before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Njoftimi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22EFD">
              <w:rPr>
                <w:rFonts w:ascii="Times New Roman" w:hAnsi="Times New Roman" w:cs="Times New Roman"/>
                <w:sz w:val="24"/>
                <w:szCs w:val="24"/>
              </w:rPr>
              <w:t>reguesit</w:t>
            </w:r>
            <w:proofErr w:type="spellEnd"/>
            <w:r w:rsidR="0022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EFD">
              <w:rPr>
                <w:rFonts w:ascii="Times New Roman" w:hAnsi="Times New Roman" w:cs="Times New Roman"/>
                <w:sz w:val="24"/>
                <w:szCs w:val="24"/>
              </w:rPr>
              <w:t>kryesorë</w:t>
            </w:r>
            <w:proofErr w:type="spellEnd"/>
            <w:r w:rsidR="0022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EF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22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EFD">
              <w:rPr>
                <w:rFonts w:ascii="Times New Roman" w:hAnsi="Times New Roman" w:cs="Times New Roman"/>
                <w:sz w:val="24"/>
                <w:szCs w:val="24"/>
              </w:rPr>
              <w:t>kulturën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Njoftimi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shtyp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publikohet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online në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internetit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të INSTAT</w:t>
            </w:r>
          </w:p>
        </w:tc>
      </w:tr>
      <w:tr w:rsidR="00E43898" w:rsidRPr="00430D9B" w14:paraId="476368CF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0AD35C0C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10.2. Publikime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44A6CED" w14:textId="528F010F" w:rsidR="00A90573" w:rsidRDefault="002856E1" w:rsidP="00A90573">
            <w:pPr>
              <w:spacing w:before="240" w:after="0" w:line="240" w:lineRule="auto"/>
              <w:ind w:left="10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Rezultatet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Statistikat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gjenden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botuara</w:t>
            </w:r>
            <w:proofErr w:type="spellEnd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botimin</w:t>
            </w:r>
            <w:proofErr w:type="spellEnd"/>
            <w:r w:rsidR="00275DAC" w:rsidRPr="00275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5DA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502E83">
              <w:fldChar w:fldCharType="begin"/>
            </w:r>
            <w:r w:rsidR="00502E83">
              <w:instrText xml:space="preserve"> HYPERLINK "http://www.instat.gov.al/al/temat/treguesit-demografik%C3%AB-dhe-social%C3%AB/kultura/" \l "tab3" </w:instrText>
            </w:r>
            <w:r w:rsidR="00502E83">
              <w:fldChar w:fldCharType="separate"/>
            </w:r>
            <w:r w:rsidRPr="00275DA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="00502E8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”; “</w:t>
            </w:r>
            <w:proofErr w:type="spellStart"/>
            <w:r w:rsidR="00502E83">
              <w:fldChar w:fldCharType="begin"/>
            </w:r>
            <w:r w:rsidR="00502E83">
              <w:instrText xml:space="preserve"> HYPERLINK "http://www.instat.gov.al/al/publikime/librat/" </w:instrText>
            </w:r>
            <w:r w:rsidR="00502E83">
              <w:fldChar w:fldCharType="separate"/>
            </w:r>
            <w:r w:rsidR="00CA0FB6" w:rsidRPr="00275DA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Shqipëria</w:t>
            </w:r>
            <w:proofErr w:type="spellEnd"/>
            <w:r w:rsidR="00CA0FB6" w:rsidRPr="00275DA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="00CA0FB6" w:rsidRPr="00275DA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Shifra</w:t>
            </w:r>
            <w:proofErr w:type="spellEnd"/>
            <w:r w:rsidR="00502E8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75D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75DAC" w:rsidRPr="00275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EFAAB" w14:textId="12D22E64" w:rsidR="00275DAC" w:rsidRPr="00275DAC" w:rsidRDefault="00275DAC" w:rsidP="00A90573">
            <w:pPr>
              <w:spacing w:line="240" w:lineRule="auto"/>
              <w:ind w:left="10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Përdoruesit mund t’i gjejnë rezultatet në faqen e internetit të INSTAT.</w:t>
            </w:r>
          </w:p>
        </w:tc>
      </w:tr>
      <w:tr w:rsidR="00E43898" w:rsidRPr="00430D9B" w14:paraId="67FC8578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4BB89C40" w14:textId="263FCA98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10.3. Baza e të dhënave on-line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44F0EEE" w14:textId="505F8FBA" w:rsidR="00E43898" w:rsidRPr="00430D9B" w:rsidRDefault="00586B0B" w:rsidP="002856E1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Këtu</w:t>
            </w:r>
            <w:proofErr w:type="spellEnd"/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aksesohet</w:t>
            </w:r>
            <w:proofErr w:type="spellEnd"/>
            <w:r w:rsidR="0028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="002856E1" w:rsidRPr="002856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databaza</w:t>
              </w:r>
              <w:proofErr w:type="spellEnd"/>
            </w:hyperlink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tatistikore</w:t>
            </w:r>
            <w:proofErr w:type="spellEnd"/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statistikat</w:t>
            </w:r>
            <w:proofErr w:type="spellEnd"/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8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ulturës</w:t>
            </w:r>
            <w:proofErr w:type="spellEnd"/>
            <w:r w:rsidRPr="0058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5F7B" w:rsidRPr="00430D9B" w14:paraId="6B404EBC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D993198" w14:textId="77777777" w:rsidR="009A7035" w:rsidRPr="00430D9B" w:rsidRDefault="009A7035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10.4. Aksesi në të dhënat mikro 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59108EBA" w14:textId="09580528" w:rsidR="009A7035" w:rsidRPr="00430D9B" w:rsidRDefault="000F63FF" w:rsidP="00586B0B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aplikohet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5F7B" w:rsidRPr="00430D9B" w14:paraId="6E57DEB2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1D1961FC" w14:textId="77777777" w:rsidR="009A7035" w:rsidRPr="00430D9B" w:rsidRDefault="009A7035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10.5. Të tjera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71D0B25F" w14:textId="330967FA" w:rsidR="009A7035" w:rsidRPr="00430D9B" w:rsidRDefault="00714EF5" w:rsidP="00714EF5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C22E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Përdoruesit mund të dërgojnë kërkesa të tjera specifike për Statistikat e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Kulturës</w:t>
            </w:r>
            <w:r w:rsidRPr="00C22E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nëpërmjet një seksioni të dedikuar për </w:t>
            </w:r>
            <w:hyperlink r:id="rId15" w:history="1">
              <w:proofErr w:type="spellStart"/>
              <w:r w:rsidRPr="00C22E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Kërkesë</w:t>
              </w:r>
              <w:proofErr w:type="spellEnd"/>
              <w:r w:rsidRPr="00C22E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të </w:t>
              </w:r>
              <w:proofErr w:type="spellStart"/>
              <w:r w:rsidRPr="00C22E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dhënash</w:t>
              </w:r>
              <w:proofErr w:type="spellEnd"/>
            </w:hyperlink>
            <w:r w:rsidRPr="00C22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en-GB"/>
              </w:rPr>
              <w:t>.</w:t>
            </w:r>
          </w:p>
        </w:tc>
      </w:tr>
      <w:tr w:rsidR="00E43898" w:rsidRPr="00430D9B" w14:paraId="06160F5A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3C0739FE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10.6. Dokumentimi i metodologjisë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C488B54" w14:textId="7C3FF92E" w:rsidR="00FE138D" w:rsidRPr="0067473D" w:rsidRDefault="00FE138D" w:rsidP="0067473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shpjegim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shkurtër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përkufizimeve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dhe </w:t>
            </w:r>
            <w:hyperlink r:id="rId16" w:anchor="tab4" w:history="1">
              <w:proofErr w:type="spellStart"/>
              <w:r w:rsidR="008C76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metodologjisë</w:t>
              </w:r>
              <w:proofErr w:type="spellEnd"/>
            </w:hyperlink>
            <w:r w:rsidR="00674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statistikat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CA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ulturës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vihet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dispozicion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përdoruesve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fund të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publikimeve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dhe në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Kultura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tjera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shtesë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ofrohen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përdoruesve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brendshëm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nëse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kërkohen</w:t>
            </w:r>
            <w:proofErr w:type="spellEnd"/>
            <w:r w:rsidRPr="00FE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5F7B" w:rsidRPr="00430D9B" w14:paraId="00719ABF" w14:textId="77777777" w:rsidTr="009819D1">
        <w:trPr>
          <w:trHeight w:val="368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1757B0A9" w14:textId="43CEB928" w:rsidR="00547988" w:rsidRPr="00430D9B" w:rsidRDefault="0054798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>10.7. Dokumentimi i cilësisë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1A210961" w14:textId="754D8B92" w:rsidR="00547988" w:rsidRPr="00A90573" w:rsidRDefault="00FE138D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Sektori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Zhvillimit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Sociale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dokumenton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gjithë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proceset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procedurat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punës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përdorim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brendshëm.</w:t>
            </w:r>
          </w:p>
        </w:tc>
      </w:tr>
      <w:tr w:rsidR="00547988" w:rsidRPr="00430D9B" w14:paraId="361EA80A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214A2FF6" w14:textId="77777777" w:rsidR="00547988" w:rsidRPr="00430D9B" w:rsidRDefault="00547988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0" w:name="_Toc63084898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11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Manaxhimi i cilësisë</w:t>
            </w:r>
            <w:bookmarkEnd w:id="10"/>
          </w:p>
        </w:tc>
      </w:tr>
      <w:tr w:rsidR="00E43898" w:rsidRPr="00430D9B" w14:paraId="57B7C874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1216B66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11.1. Sigurimi i cilësisë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A220F76" w14:textId="12CE5ECC" w:rsidR="00E43898" w:rsidRPr="00A90573" w:rsidRDefault="00FE22B5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INSTAT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është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angazhuar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sigurimin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cilësisë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prodhimin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zyrtare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Duke u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bazuar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ligjin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“PËR STATISTIKAT ZYRTARE, Nr. 17/2018, INSTAT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përdor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metoda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procese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parimet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standardet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shkencore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ndërkombëtarisht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kryen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analiza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vazhdueshme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qëllim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përmirësimin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cilësisë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ofrimin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përditësuara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kryerjen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detyrave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tij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INSTAT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ndjek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parimet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përgjithshme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menaxhimit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cilësisë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në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Kodin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Praktikës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Evropiane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(European Statistics Code of Practice). INSTAT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sigurimin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cilësisë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udhëhiqet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parimet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mëposhtme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paanshmëria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cilësia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proceseve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produkteve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orientimi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përdoruesit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orientimi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punonjësit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efektiviteti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proceseve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statistikore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reduktimi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ngarkesës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intervistuarve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43898" w:rsidRPr="00430D9B" w14:paraId="6BB34371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4091F8E3" w14:textId="77777777" w:rsidR="00E43898" w:rsidRPr="00430D9B" w:rsidRDefault="00E43898" w:rsidP="000F63FF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11.2. Vlerësimi i cilësisë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B05E1C6" w14:textId="5279EEF7" w:rsidR="00E43898" w:rsidRPr="00A90573" w:rsidRDefault="000F63FF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Burimi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2B11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atistikat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FE138D"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ulturës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është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administrativ.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krahasohen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dhënat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viteteve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mëparshme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dalluar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nëse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koherencë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dhënash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apo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pasur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ndryshime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mëdha</w:t>
            </w:r>
            <w:proofErr w:type="spellEnd"/>
            <w:r w:rsidRPr="00A90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5EC3" w:rsidRPr="00430D9B" w14:paraId="485423A4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572F3013" w14:textId="77777777" w:rsidR="00735EC3" w:rsidRPr="00430D9B" w:rsidRDefault="00735EC3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1" w:name="_Toc63084899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12</w:t>
            </w:r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Rëndësia</w:t>
            </w:r>
            <w:bookmarkEnd w:id="11"/>
          </w:p>
        </w:tc>
      </w:tr>
      <w:tr w:rsidR="00E43898" w:rsidRPr="00430D9B" w14:paraId="2D241BBF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EE82324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12.1. Nevojat e përdoruesit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3344CED" w14:textId="1058C7E5" w:rsidR="00FE138D" w:rsidRPr="00377F77" w:rsidRDefault="00FE138D" w:rsidP="00A90573">
            <w:pPr>
              <w:spacing w:before="240" w:line="240" w:lineRule="auto"/>
              <w:ind w:left="102" w:right="8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377F7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Përdoruesit e statistikave të kulturës klasifikohen si të jashtëm dhe të brendshëm</w:t>
            </w:r>
            <w:r w:rsidR="00A9057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:</w:t>
            </w:r>
          </w:p>
          <w:p w14:paraId="5877E21C" w14:textId="77777777" w:rsidR="00FE138D" w:rsidRPr="00377F77" w:rsidRDefault="00FE138D" w:rsidP="00377F77">
            <w:pPr>
              <w:pStyle w:val="ListParagraph"/>
              <w:numPr>
                <w:ilvl w:val="0"/>
                <w:numId w:val="38"/>
              </w:numPr>
              <w:jc w:val="both"/>
              <w:rPr>
                <w:color w:val="000000"/>
              </w:rPr>
            </w:pPr>
            <w:r w:rsidRPr="00377F77">
              <w:rPr>
                <w:noProof/>
                <w:color w:val="000000"/>
                <w:lang w:val="sq-AL" w:eastAsia="sq-AL"/>
              </w:rPr>
              <w:t>Përdoruesit e jashtëm janë:</w:t>
            </w:r>
            <w:r w:rsidRPr="00377F77">
              <w:rPr>
                <w:color w:val="000000"/>
              </w:rPr>
              <w:t xml:space="preserve"> </w:t>
            </w:r>
          </w:p>
          <w:p w14:paraId="0A2A26FD" w14:textId="77777777" w:rsidR="00FE138D" w:rsidRPr="00377F77" w:rsidRDefault="00FE138D" w:rsidP="00AC5A76">
            <w:pPr>
              <w:numPr>
                <w:ilvl w:val="1"/>
                <w:numId w:val="35"/>
              </w:numPr>
              <w:spacing w:after="100" w:afterAutospacing="1" w:line="240" w:lineRule="auto"/>
              <w:ind w:left="1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F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Institucionet e Administratës Publike;  </w:t>
            </w:r>
          </w:p>
          <w:p w14:paraId="0E267115" w14:textId="77777777" w:rsidR="00FE138D" w:rsidRPr="00377F77" w:rsidRDefault="00FE138D" w:rsidP="00AC5A76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ind w:left="1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F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Universitetet; </w:t>
            </w:r>
          </w:p>
          <w:p w14:paraId="03EFC227" w14:textId="77777777" w:rsidR="005A5453" w:rsidRPr="005A5453" w:rsidRDefault="005A5453" w:rsidP="00AC5A76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ind w:left="1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Bizneset;</w:t>
            </w:r>
          </w:p>
          <w:p w14:paraId="1A0B644C" w14:textId="6DAF94E3" w:rsidR="00FE138D" w:rsidRPr="005A5453" w:rsidRDefault="00FE138D" w:rsidP="00AC5A76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ind w:left="1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4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Publiku i përgjithshëm dhe grupet e tjera të interesit; </w:t>
            </w:r>
          </w:p>
          <w:p w14:paraId="42137C05" w14:textId="77777777" w:rsidR="00FE138D" w:rsidRPr="00377F77" w:rsidRDefault="00FE138D" w:rsidP="00AC5A76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ind w:left="1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F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Organizata kombëtare jofitmprurëse;</w:t>
            </w:r>
          </w:p>
          <w:p w14:paraId="724B7EB8" w14:textId="0C51E38C" w:rsidR="00377F77" w:rsidRPr="00377F77" w:rsidRDefault="00377F77" w:rsidP="00AC5A76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ind w:left="1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>Disa</w:t>
            </w:r>
            <w:proofErr w:type="spellEnd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>tregues</w:t>
            </w:r>
            <w:proofErr w:type="spellEnd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>kryesorë</w:t>
            </w:r>
            <w:proofErr w:type="spellEnd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>dërgohen</w:t>
            </w:r>
            <w:proofErr w:type="spellEnd"/>
            <w:r w:rsidRPr="00377F77">
              <w:rPr>
                <w:rFonts w:ascii="Times New Roman" w:hAnsi="Times New Roman" w:cs="Times New Roman"/>
                <w:sz w:val="24"/>
                <w:szCs w:val="24"/>
              </w:rPr>
              <w:t xml:space="preserve"> në Eurostat</w:t>
            </w:r>
          </w:p>
          <w:p w14:paraId="0A9910BF" w14:textId="28948E0F" w:rsidR="00E43898" w:rsidRPr="00377F77" w:rsidRDefault="00FE138D" w:rsidP="00377F77">
            <w:pPr>
              <w:pStyle w:val="ListParagraph"/>
              <w:numPr>
                <w:ilvl w:val="0"/>
                <w:numId w:val="38"/>
              </w:numPr>
              <w:spacing w:before="240" w:after="240"/>
              <w:ind w:right="86"/>
              <w:jc w:val="both"/>
              <w:rPr>
                <w:color w:val="000000"/>
              </w:rPr>
            </w:pPr>
            <w:r w:rsidRPr="00377F77">
              <w:rPr>
                <w:noProof/>
                <w:color w:val="000000"/>
                <w:lang w:val="sq-AL" w:eastAsia="sq-AL"/>
              </w:rPr>
              <w:t>Përdoruesit e brendshëm janë brenda INSTAT të cilët përdorin Statistikat e kulturës si input për punën e tyre.</w:t>
            </w:r>
            <w:r w:rsidR="00377F77">
              <w:rPr>
                <w:noProof/>
                <w:color w:val="000000"/>
                <w:lang w:val="sq-AL" w:eastAsia="sq-AL"/>
              </w:rPr>
              <w:t>   </w:t>
            </w:r>
          </w:p>
        </w:tc>
      </w:tr>
      <w:tr w:rsidR="00B15F7B" w:rsidRPr="00430D9B" w14:paraId="51F3CEA7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D49363E" w14:textId="1FF8050C" w:rsidR="00F32733" w:rsidRPr="00430D9B" w:rsidRDefault="00F32733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12.2. Kënaqësia e përdoruesit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455C9BCF" w14:textId="5029BCB9" w:rsidR="00494EE8" w:rsidRPr="00494EE8" w:rsidRDefault="00494EE8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Klikimet (Page Views) në lidhje me “Statistikat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e Kulturës</w:t>
            </w: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” për vitin 20</w:t>
            </w:r>
            <w:r w:rsidR="005802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20</w:t>
            </w: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janë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A740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rreth</w:t>
            </w:r>
            <w:r w:rsidR="00A740D2" w:rsidRPr="00A740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="005F6FA4" w:rsidRPr="005F6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t>2</w:t>
            </w:r>
            <w:r w:rsidR="007978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t>,</w:t>
            </w:r>
            <w:r w:rsidR="005F6FA4" w:rsidRPr="005F6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t>636</w:t>
            </w:r>
            <w:r w:rsidR="005F6F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t>.</w:t>
            </w:r>
          </w:p>
          <w:p w14:paraId="0CD23995" w14:textId="2A3B29B7" w:rsidR="00494EE8" w:rsidRPr="00494EE8" w:rsidRDefault="00494EE8" w:rsidP="00A90573">
            <w:pPr>
              <w:spacing w:before="20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Gjatë 20</w:t>
            </w:r>
            <w:r w:rsidR="005802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20</w:t>
            </w: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, INSTAT ka kryer vrojtimin për matjen e kënaqësisë së përdoruesve</w:t>
            </w:r>
          </w:p>
          <w:p w14:paraId="30663119" w14:textId="55597E96" w:rsidR="00494EE8" w:rsidRPr="00494EE8" w:rsidRDefault="00494EE8" w:rsidP="0067473D">
            <w:pPr>
              <w:spacing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nga publikimet e INSTAT. Rezultatet e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vrojtimit tregojnë se cilësia e </w:t>
            </w: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përgjithshme e Statistikave të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Kulturës</w:t>
            </w: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është vlerësuar me </w:t>
            </w:r>
            <w:r w:rsidR="00E35304" w:rsidRPr="001A5A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3.</w:t>
            </w:r>
            <w:r w:rsidR="001A5A1B" w:rsidRPr="001A5A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71</w:t>
            </w:r>
            <w:r w:rsidRPr="001A5A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(</w:t>
            </w:r>
            <w:r w:rsidR="001A5A1B" w:rsidRPr="001A5A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74.2</w:t>
            </w:r>
            <w:r w:rsidRPr="001A5A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%)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nga një shkallë</w:t>
            </w: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prej 1 (shumë dobët) në 5 (shumë mirë).</w:t>
            </w:r>
          </w:p>
          <w:p w14:paraId="5CB2C9C7" w14:textId="137C7143" w:rsidR="00F32733" w:rsidRPr="00430D9B" w:rsidRDefault="00494EE8" w:rsidP="0067473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INSTAT organizon cdo vit </w:t>
            </w:r>
            <w:hyperlink r:id="rId17" w:history="1">
              <w:r w:rsidRPr="00494EE8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val="sq-AL" w:eastAsia="sq-AL"/>
                </w:rPr>
                <w:t>Anketën e Kënaqësisë se Përdoruesve</w:t>
              </w:r>
            </w:hyperlink>
            <w:r w:rsidRPr="00494E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E43898" w:rsidRPr="00430D9B" w14:paraId="7CCBB127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114BC412" w14:textId="77777777" w:rsidR="00F32733" w:rsidRPr="00430D9B" w:rsidRDefault="00F32733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>12.3. Plotshmëria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22ADB37E" w14:textId="601037DF" w:rsidR="00F32733" w:rsidRPr="00A90573" w:rsidRDefault="00A425D1" w:rsidP="005802B1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A9057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Plotshmëria e të dhënave për statistikat të kulturës për vitin 20</w:t>
            </w:r>
            <w:r w:rsidR="005802B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20</w:t>
            </w:r>
            <w:r w:rsidRPr="00A9057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gjykohet duke krahasuar cilësinë dhe sasinë e treguesve të mbuluar në INSTAT nga ato të rregulloreve të ndjekura.</w:t>
            </w:r>
          </w:p>
        </w:tc>
      </w:tr>
      <w:tr w:rsidR="0028142A" w:rsidRPr="00430D9B" w14:paraId="268AE2B2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2D5810D7" w14:textId="77777777" w:rsidR="0028142A" w:rsidRPr="00430D9B" w:rsidRDefault="0028142A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2" w:name="_Toc63084900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13.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Saktësia dhe besueshmëria</w:t>
            </w:r>
            <w:bookmarkEnd w:id="12"/>
          </w:p>
        </w:tc>
      </w:tr>
      <w:tr w:rsidR="00E43898" w:rsidRPr="00430D9B" w14:paraId="4AD9D75B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3927914B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13.1. Saktësia e përgjithshme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DFDC0CA" w14:textId="67C8086F" w:rsidR="00E43898" w:rsidRPr="00A90573" w:rsidRDefault="000E7F58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A9057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Nuk aplikohet.</w:t>
            </w:r>
          </w:p>
        </w:tc>
      </w:tr>
      <w:tr w:rsidR="00E43898" w:rsidRPr="00430D9B" w14:paraId="50813A6C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22278CF6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13.2. Gabim i kampionimit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257771B" w14:textId="7FF5A740" w:rsidR="00E43898" w:rsidRPr="00A90573" w:rsidRDefault="00052EAD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A9057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Nuk aplikohet.</w:t>
            </w:r>
          </w:p>
        </w:tc>
      </w:tr>
      <w:tr w:rsidR="00E43898" w:rsidRPr="00430D9B" w14:paraId="69925497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08AB257E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13.3. Gabim jo i kampionimit 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8CA079A" w14:textId="76F6A3E9" w:rsidR="00E43898" w:rsidRPr="00430D9B" w:rsidRDefault="000E7F58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se të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dhënat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publikohen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INSTAT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kontrollon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nëse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ndryshime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trend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llogaritje të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gabuara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të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dhënat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rishikohen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Duke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qenë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të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dhënat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mblidhen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manualisht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mundësi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gabimesh</w:t>
            </w:r>
            <w:proofErr w:type="spellEnd"/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49D3" w:rsidRPr="00430D9B" w14:paraId="591EFE80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2DC42728" w14:textId="77777777" w:rsidR="002149D3" w:rsidRPr="00430D9B" w:rsidRDefault="002149D3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sq-AL" w:eastAsia="sq-AL"/>
              </w:rPr>
            </w:pPr>
            <w:bookmarkStart w:id="13" w:name="_Toc63084901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sq-AL" w:eastAsia="sq-AL"/>
              </w:rPr>
              <w:t xml:space="preserve">14.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Afatet kohore dhe përpikmëria</w:t>
            </w:r>
            <w:bookmarkEnd w:id="13"/>
          </w:p>
        </w:tc>
      </w:tr>
      <w:tr w:rsidR="00E43898" w:rsidRPr="00430D9B" w14:paraId="33572747" w14:textId="77777777" w:rsidTr="00A90573">
        <w:trPr>
          <w:trHeight w:val="2294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15164D98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14.1. Afatet kohore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A7E3999" w14:textId="2B84BC9C" w:rsidR="000E7F58" w:rsidRPr="000E7F58" w:rsidRDefault="000E7F58" w:rsidP="00A9057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Rezultatet e</w:t>
            </w:r>
            <w:r w:rsidRPr="000E7F58">
              <w:rPr>
                <w:rFonts w:ascii="Calibri" w:eastAsia="Calibri" w:hAnsi="Calibri" w:cs="Times New Roman"/>
              </w:rPr>
              <w:t xml:space="preserve"> </w:t>
            </w:r>
            <w:r w:rsidR="000E59A9">
              <w:rPr>
                <w:rFonts w:ascii="Calibri" w:eastAsia="Calibri" w:hAnsi="Calibri" w:cs="Times New Roman"/>
              </w:rPr>
              <w:t>“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Statistikave të </w:t>
            </w:r>
            <w:r w:rsidR="00D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Kulturës</w:t>
            </w:r>
            <w:r w:rsidR="000E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”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 janë publikuar në faqen e internetit të INSTAT </w:t>
            </w:r>
            <w:r w:rsidR="0099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29 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ditë pas përfundimit të periudhës referuese (T + </w:t>
            </w:r>
            <w:r w:rsidR="0099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29 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ditë). Periudha referuese e rezultateve të </w:t>
            </w:r>
            <w:r w:rsidR="00E35304"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Statistikave të </w:t>
            </w:r>
            <w:r w:rsidR="00E3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Kulturës</w:t>
            </w:r>
            <w:r w:rsidR="00E35304"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është 31 Dhjetori 20</w:t>
            </w:r>
            <w:r w:rsidR="0058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20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.</w:t>
            </w:r>
          </w:p>
          <w:tbl>
            <w:tblPr>
              <w:tblW w:w="3147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277"/>
            </w:tblGrid>
            <w:tr w:rsidR="000E7F58" w:rsidRPr="000E7F58" w14:paraId="329E46C8" w14:textId="77777777" w:rsidTr="00690C74">
              <w:trPr>
                <w:trHeight w:val="300"/>
              </w:trPr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74A76E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Periudha</w:t>
                  </w:r>
                  <w:proofErr w:type="spellEnd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referuese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4802C0" w14:textId="4C3E6842" w:rsidR="000E7F58" w:rsidRPr="000E7F58" w:rsidRDefault="000E7F58" w:rsidP="005802B1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12/31/20</w:t>
                  </w:r>
                  <w:r w:rsidR="005802B1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20</w:t>
                  </w:r>
                </w:p>
              </w:tc>
            </w:tr>
            <w:tr w:rsidR="000E7F58" w:rsidRPr="000E7F58" w14:paraId="38E550CE" w14:textId="77777777" w:rsidTr="00690C74">
              <w:trPr>
                <w:trHeight w:val="300"/>
              </w:trPr>
              <w:tc>
                <w:tcPr>
                  <w:tcW w:w="18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0E47FC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 xml:space="preserve">Data e </w:t>
                  </w: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publikimit</w:t>
                  </w:r>
                  <w:proofErr w:type="spellEnd"/>
                </w:p>
              </w:tc>
              <w:tc>
                <w:tcPr>
                  <w:tcW w:w="12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EC8CE1" w14:textId="3D4C2371" w:rsidR="000E7F58" w:rsidRPr="000E7F58" w:rsidRDefault="000E7F58" w:rsidP="009959D3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1</w:t>
                  </w: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/</w:t>
                  </w:r>
                  <w:r w:rsidR="009959D3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29</w:t>
                  </w: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/202</w:t>
                  </w:r>
                  <w:r w:rsidR="005802B1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1</w:t>
                  </w:r>
                </w:p>
              </w:tc>
            </w:tr>
            <w:tr w:rsidR="000E7F58" w:rsidRPr="000E7F58" w14:paraId="7EC7B1A0" w14:textId="77777777" w:rsidTr="00690C74">
              <w:trPr>
                <w:trHeight w:val="300"/>
              </w:trPr>
              <w:tc>
                <w:tcPr>
                  <w:tcW w:w="18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59CA19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Afatet</w:t>
                  </w:r>
                  <w:proofErr w:type="spellEnd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 xml:space="preserve"> kohore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FAB0411" w14:textId="540182FE" w:rsidR="000E7F58" w:rsidRPr="000E7F58" w:rsidRDefault="009959D3" w:rsidP="000E7F5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29</w:t>
                  </w:r>
                </w:p>
              </w:tc>
            </w:tr>
          </w:tbl>
          <w:p w14:paraId="13AB7293" w14:textId="54CC03AE" w:rsidR="0015494D" w:rsidRPr="00430D9B" w:rsidRDefault="0015494D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</w:pPr>
          </w:p>
        </w:tc>
      </w:tr>
      <w:tr w:rsidR="00E43898" w:rsidRPr="00430D9B" w14:paraId="46ADC27C" w14:textId="77777777" w:rsidTr="00D31023">
        <w:trPr>
          <w:trHeight w:val="2582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318A9946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 xml:space="preserve">14.2. </w:t>
            </w:r>
            <w:r w:rsidRPr="00430D9B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sq-AL" w:eastAsia="sq-AL"/>
              </w:rPr>
              <w:t>Përpikmëria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8CD3971" w14:textId="3FB8A768" w:rsidR="000E7F58" w:rsidRPr="000E7F58" w:rsidRDefault="000E7F58" w:rsidP="00D31023">
            <w:pPr>
              <w:spacing w:before="200" w:line="240" w:lineRule="auto"/>
              <w:ind w:left="101" w:right="86"/>
              <w:jc w:val="both"/>
              <w:rPr>
                <w:rFonts w:ascii="Calibri" w:eastAsia="Calibri" w:hAnsi="Calibri" w:cs="Calibri"/>
              </w:rPr>
            </w:pP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r w:rsidRPr="000E7F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 dhënat e 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Statistikave të </w:t>
            </w:r>
            <w:r w:rsidR="00D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Kulturës </w:t>
            </w:r>
            <w:r w:rsidRPr="000E7F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publikohen bazuar në kalendarin e publikimeve. Publikimi i </w:t>
            </w:r>
            <w:r w:rsidRPr="000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Statistikave të </w:t>
            </w:r>
            <w:r w:rsidR="00D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Kulturës</w:t>
            </w:r>
            <w:r w:rsidRPr="000E7F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 ka qenë i përpiktë në kohë në 100 % të publikimeve të kryera gjatë viteve.</w:t>
            </w:r>
          </w:p>
          <w:tbl>
            <w:tblPr>
              <w:tblW w:w="4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421"/>
              <w:gridCol w:w="1621"/>
            </w:tblGrid>
            <w:tr w:rsidR="000E7F58" w:rsidRPr="000E7F58" w14:paraId="6468BE4B" w14:textId="77777777" w:rsidTr="00A90573">
              <w:trPr>
                <w:trHeight w:val="300"/>
              </w:trPr>
              <w:tc>
                <w:tcPr>
                  <w:tcW w:w="2421" w:type="dxa"/>
                  <w:shd w:val="clear" w:color="auto" w:fill="FFFFFF"/>
                  <w:vAlign w:val="bottom"/>
                </w:tcPr>
                <w:p w14:paraId="24218F63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Periudha</w:t>
                  </w:r>
                  <w:proofErr w:type="spellEnd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referuese</w:t>
                  </w:r>
                  <w:proofErr w:type="spellEnd"/>
                </w:p>
              </w:tc>
              <w:tc>
                <w:tcPr>
                  <w:tcW w:w="1621" w:type="dxa"/>
                  <w:shd w:val="clear" w:color="auto" w:fill="FFFFFF"/>
                  <w:vAlign w:val="bottom"/>
                </w:tcPr>
                <w:p w14:paraId="36869757" w14:textId="7EEA2538" w:rsidR="000E7F58" w:rsidRPr="000E7F58" w:rsidRDefault="000E7F58" w:rsidP="005802B1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12/31/20</w:t>
                  </w:r>
                  <w:r w:rsidR="005802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</w:t>
                  </w:r>
                </w:p>
              </w:tc>
            </w:tr>
            <w:tr w:rsidR="000E7F58" w:rsidRPr="000E7F58" w14:paraId="6A5F636B" w14:textId="77777777" w:rsidTr="00A90573">
              <w:trPr>
                <w:trHeight w:val="300"/>
              </w:trPr>
              <w:tc>
                <w:tcPr>
                  <w:tcW w:w="2421" w:type="dxa"/>
                  <w:shd w:val="clear" w:color="auto" w:fill="FFFFFF"/>
                  <w:vAlign w:val="bottom"/>
                </w:tcPr>
                <w:p w14:paraId="21592D59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Data e </w:t>
                  </w: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shpallur</w:t>
                  </w:r>
                  <w:proofErr w:type="spellEnd"/>
                </w:p>
              </w:tc>
              <w:tc>
                <w:tcPr>
                  <w:tcW w:w="1621" w:type="dxa"/>
                  <w:shd w:val="clear" w:color="auto" w:fill="FFFFFF"/>
                  <w:vAlign w:val="bottom"/>
                </w:tcPr>
                <w:p w14:paraId="752D6A99" w14:textId="4525AA0E" w:rsidR="000E7F58" w:rsidRPr="009959D3" w:rsidRDefault="000E7F58" w:rsidP="009959D3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1/</w:t>
                  </w:r>
                  <w:r w:rsidR="009959D3"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29</w:t>
                  </w:r>
                  <w:r w:rsidR="00FC1AF9"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/</w:t>
                  </w:r>
                  <w:r w:rsidR="005802B1"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2021</w:t>
                  </w:r>
                </w:p>
              </w:tc>
            </w:tr>
            <w:tr w:rsidR="000E7F58" w:rsidRPr="000E7F58" w14:paraId="446794DA" w14:textId="77777777" w:rsidTr="00A90573">
              <w:trPr>
                <w:trHeight w:val="300"/>
              </w:trPr>
              <w:tc>
                <w:tcPr>
                  <w:tcW w:w="2421" w:type="dxa"/>
                  <w:shd w:val="clear" w:color="auto" w:fill="FFFFFF"/>
                  <w:vAlign w:val="bottom"/>
                </w:tcPr>
                <w:p w14:paraId="6875F92E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Data e </w:t>
                  </w:r>
                  <w:proofErr w:type="spellStart"/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publikimit</w:t>
                  </w:r>
                  <w:proofErr w:type="spellEnd"/>
                </w:p>
              </w:tc>
              <w:tc>
                <w:tcPr>
                  <w:tcW w:w="1621" w:type="dxa"/>
                  <w:shd w:val="clear" w:color="auto" w:fill="FFFFFF"/>
                  <w:vAlign w:val="bottom"/>
                </w:tcPr>
                <w:p w14:paraId="10E5367A" w14:textId="184DE660" w:rsidR="000E7F58" w:rsidRPr="009959D3" w:rsidRDefault="000E7F58" w:rsidP="009959D3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1/</w:t>
                  </w:r>
                  <w:r w:rsidR="009959D3"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29</w:t>
                  </w:r>
                  <w:r w:rsidR="00FC1AF9"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/</w:t>
                  </w:r>
                  <w:r w:rsidR="005802B1" w:rsidRPr="009959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2021</w:t>
                  </w:r>
                </w:p>
              </w:tc>
            </w:tr>
            <w:tr w:rsidR="000E7F58" w:rsidRPr="000E7F58" w14:paraId="15D1EF34" w14:textId="77777777" w:rsidTr="00A90573">
              <w:trPr>
                <w:trHeight w:val="187"/>
              </w:trPr>
              <w:tc>
                <w:tcPr>
                  <w:tcW w:w="2421" w:type="dxa"/>
                  <w:shd w:val="clear" w:color="auto" w:fill="FFFFFF"/>
                  <w:vAlign w:val="bottom"/>
                </w:tcPr>
                <w:p w14:paraId="54C64151" w14:textId="77777777" w:rsidR="000E7F58" w:rsidRPr="000E7F58" w:rsidRDefault="000E7F58" w:rsidP="000E7F5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Vonesa në kohë</w:t>
                  </w:r>
                </w:p>
              </w:tc>
              <w:tc>
                <w:tcPr>
                  <w:tcW w:w="1621" w:type="dxa"/>
                  <w:shd w:val="clear" w:color="auto" w:fill="FFFFFF"/>
                  <w:vAlign w:val="bottom"/>
                </w:tcPr>
                <w:p w14:paraId="54C49D43" w14:textId="77777777" w:rsidR="000E7F58" w:rsidRPr="000E7F58" w:rsidRDefault="000E7F58" w:rsidP="000E7F5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0E7F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</w:t>
                  </w:r>
                </w:p>
              </w:tc>
            </w:tr>
          </w:tbl>
          <w:p w14:paraId="2D26DB09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sq-AL" w:eastAsia="sq-AL"/>
              </w:rPr>
            </w:pPr>
          </w:p>
        </w:tc>
      </w:tr>
      <w:tr w:rsidR="00F80D5E" w:rsidRPr="00430D9B" w14:paraId="22D4B250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14:paraId="130ADD33" w14:textId="77777777" w:rsidR="00F80D5E" w:rsidRPr="00430D9B" w:rsidRDefault="00F80D5E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4" w:name="_Toc63084902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15.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Koherenca dhe Krahasueshmëria</w:t>
            </w:r>
            <w:bookmarkEnd w:id="14"/>
          </w:p>
        </w:tc>
      </w:tr>
      <w:tr w:rsidR="00E43898" w:rsidRPr="00430D9B" w14:paraId="5BCC8775" w14:textId="77777777" w:rsidTr="0099586D">
        <w:trPr>
          <w:trHeight w:val="431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4C97729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15.1. Krahasueshmëria gjeografike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FED4067" w14:textId="70EDCDDC" w:rsidR="00E43898" w:rsidRPr="00D31023" w:rsidRDefault="003D3C8E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Statistikat e Kulturës paraqiten në </w:t>
            </w:r>
            <w:r w:rsidR="00ED1372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nivel vendi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. Këto statistika janë relativisht të krahasueshme pasi institucionet që na sigurojnë të dhënat koordinojnë procesin e mbledhjes së të dhënave. </w:t>
            </w:r>
          </w:p>
        </w:tc>
      </w:tr>
      <w:tr w:rsidR="00E43898" w:rsidRPr="00430D9B" w14:paraId="56A5F506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50757DC0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15.2. Krahasueshmëria kohore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6661E51" w14:textId="66D1240B" w:rsidR="00E43898" w:rsidRPr="00D31023" w:rsidRDefault="008F5DCC" w:rsidP="008D1C67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Statistikat e Kul</w:t>
            </w:r>
            <w:r w:rsidR="00B72D62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urës datojnë që nga viti 2017 referuar databazës statistikore</w:t>
            </w:r>
            <w:r w:rsidR="008D1C67">
              <w:t xml:space="preserve"> </w:t>
            </w:r>
            <w:r w:rsidR="008D1C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duke siguruar një krahasueshmë</w:t>
            </w:r>
            <w:r w:rsidR="008D1C67" w:rsidRPr="008D1C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ri kohore prej </w:t>
            </w:r>
            <w:r w:rsidR="008D1C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4 vitesh (CC2=Jlast-Jfirst+1=4)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  <w:r w:rsidR="00222EFD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Të dhënave ju bëhen kontrolle të vazhdueshme për të garantuar krahasueshmërinë e tyre në seri kohore.</w:t>
            </w:r>
            <w:r w:rsidR="008D1C67">
              <w:t xml:space="preserve"> </w:t>
            </w:r>
            <w:r w:rsidR="008D1C67" w:rsidRPr="008D1C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</w:tc>
      </w:tr>
      <w:tr w:rsidR="00B15F7B" w:rsidRPr="00430D9B" w14:paraId="2FAA0BFC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37B5BABA" w14:textId="77777777" w:rsidR="0055408D" w:rsidRPr="00430D9B" w:rsidRDefault="0055408D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15.3. Koherenca e ndërthurjes së fushave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51C9395A" w14:textId="3E3AAE92" w:rsidR="0055408D" w:rsidRPr="00D31023" w:rsidRDefault="0015494D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Nuk aplikohet.</w:t>
            </w:r>
          </w:p>
        </w:tc>
      </w:tr>
      <w:tr w:rsidR="00E43898" w:rsidRPr="00430D9B" w14:paraId="1F375E7F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299A97AB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15.4. Koherenca e brendshme 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AB93BC9" w14:textId="4F059985" w:rsidR="00E43898" w:rsidRPr="00D31023" w:rsidRDefault="000E7F58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Koherenca e brendshme e të dhënave kontrollohet me rregullat e validimit të 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>shumës, si shuma e nëntotalit, ndryshimet e mëdha ndër vite, ndryshime të</w:t>
            </w:r>
            <w:r w:rsidR="005A5453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mëdha, siç përmendet në raport</w:t>
            </w:r>
            <w:r w:rsidR="00B72D62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E43898" w:rsidRPr="00430D9B" w14:paraId="0976F98E" w14:textId="77777777" w:rsidTr="00430D9B">
        <w:trPr>
          <w:trHeight w:val="567"/>
        </w:trPr>
        <w:tc>
          <w:tcPr>
            <w:tcW w:w="2518" w:type="dxa"/>
            <w:shd w:val="clear" w:color="auto" w:fill="FBD4B4" w:themeFill="accent6" w:themeFillTint="66"/>
            <w:vAlign w:val="center"/>
            <w:hideMark/>
          </w:tcPr>
          <w:p w14:paraId="2A30E4C3" w14:textId="77777777" w:rsidR="00E43898" w:rsidRPr="00430D9B" w:rsidRDefault="00E43898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5" w:name="_Toc63084903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lastRenderedPageBreak/>
              <w:t xml:space="preserve">16.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Kostoja dhe ngarkesa</w:t>
            </w:r>
            <w:bookmarkEnd w:id="15"/>
          </w:p>
        </w:tc>
        <w:tc>
          <w:tcPr>
            <w:tcW w:w="8164" w:type="dxa"/>
            <w:shd w:val="clear" w:color="auto" w:fill="auto"/>
            <w:vAlign w:val="center"/>
          </w:tcPr>
          <w:p w14:paraId="30C4D047" w14:textId="7AAE65FE" w:rsidR="00E43898" w:rsidRPr="00D31023" w:rsidRDefault="000E7F58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Sektori i Zhvillimit të Statistikave Sociale është pjesë e Drejtorisë së Statistikave Sociale. </w:t>
            </w:r>
            <w:r w:rsidR="00B72D62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Statistikat e kulturës mbulohen nga specialisti që mbulon edhe statistikat e arsimit. </w:t>
            </w:r>
          </w:p>
        </w:tc>
      </w:tr>
      <w:tr w:rsidR="007B3C66" w:rsidRPr="00430D9B" w14:paraId="0D860060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vAlign w:val="center"/>
            <w:hideMark/>
          </w:tcPr>
          <w:p w14:paraId="3450742F" w14:textId="77777777" w:rsidR="007B3C66" w:rsidRPr="00430D9B" w:rsidRDefault="007B3C66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6" w:name="_Toc63084904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17.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Rishikimi i të dhënave</w:t>
            </w:r>
            <w:bookmarkEnd w:id="16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 </w:t>
            </w:r>
          </w:p>
        </w:tc>
      </w:tr>
      <w:tr w:rsidR="00E43898" w:rsidRPr="00430D9B" w14:paraId="29A4810F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68C9196C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17.1. Politika e rishikimit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FBC659D" w14:textId="77777777" w:rsidR="00433D81" w:rsidRPr="002148AA" w:rsidRDefault="00433D81" w:rsidP="00D31023">
            <w:pPr>
              <w:spacing w:before="20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Politikat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rishikimit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bëhen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përputhje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politikën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rishikimit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politikën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trajtimit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gabimeve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vendosura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INSTAT.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shumë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referohuni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867DF54" w14:textId="77777777" w:rsidR="00433D81" w:rsidRPr="00433D81" w:rsidRDefault="00502E83" w:rsidP="00433D81">
            <w:pPr>
              <w:pStyle w:val="ListParagraph"/>
              <w:numPr>
                <w:ilvl w:val="0"/>
                <w:numId w:val="32"/>
              </w:numPr>
              <w:spacing w:afterAutospacing="1"/>
              <w:contextualSpacing w:val="0"/>
              <w:rPr>
                <w:rStyle w:val="Hyperlink"/>
                <w:noProof/>
                <w:color w:val="000000"/>
                <w:u w:val="none"/>
                <w:lang w:val="sq-AL" w:eastAsia="sq-AL"/>
              </w:rPr>
            </w:pPr>
            <w:hyperlink r:id="rId18" w:history="1">
              <w:r w:rsidR="00433D81" w:rsidRPr="002148AA">
                <w:rPr>
                  <w:rStyle w:val="Hyperlink"/>
                </w:rPr>
                <w:t xml:space="preserve">Politika e </w:t>
              </w:r>
              <w:proofErr w:type="spellStart"/>
              <w:r w:rsidR="00433D81" w:rsidRPr="002148AA">
                <w:rPr>
                  <w:rStyle w:val="Hyperlink"/>
                </w:rPr>
                <w:t>revizionimit</w:t>
              </w:r>
              <w:proofErr w:type="spellEnd"/>
            </w:hyperlink>
          </w:p>
          <w:p w14:paraId="05E12712" w14:textId="2558BD6E" w:rsidR="00E43898" w:rsidRPr="00430D9B" w:rsidRDefault="00502E83" w:rsidP="00433D81">
            <w:pPr>
              <w:pStyle w:val="ListParagraph"/>
              <w:numPr>
                <w:ilvl w:val="0"/>
                <w:numId w:val="32"/>
              </w:numPr>
              <w:spacing w:afterAutospacing="1"/>
              <w:contextualSpacing w:val="0"/>
              <w:rPr>
                <w:noProof/>
                <w:color w:val="000000"/>
                <w:lang w:val="sq-AL" w:eastAsia="sq-AL"/>
              </w:rPr>
            </w:pPr>
            <w:hyperlink r:id="rId19" w:history="1">
              <w:r w:rsidR="00433D81" w:rsidRPr="002148AA">
                <w:rPr>
                  <w:rStyle w:val="Hyperlink"/>
                </w:rPr>
                <w:t xml:space="preserve">Politika e </w:t>
              </w:r>
              <w:proofErr w:type="spellStart"/>
              <w:r w:rsidR="00433D81" w:rsidRPr="002148AA">
                <w:rPr>
                  <w:rStyle w:val="Hyperlink"/>
                </w:rPr>
                <w:t>trajtimit</w:t>
              </w:r>
              <w:proofErr w:type="spellEnd"/>
              <w:r w:rsidR="00433D81" w:rsidRPr="002148AA">
                <w:rPr>
                  <w:rStyle w:val="Hyperlink"/>
                </w:rPr>
                <w:t xml:space="preserve"> </w:t>
              </w:r>
              <w:proofErr w:type="spellStart"/>
              <w:r w:rsidR="00433D81" w:rsidRPr="002148AA">
                <w:rPr>
                  <w:rStyle w:val="Hyperlink"/>
                </w:rPr>
                <w:t>te</w:t>
              </w:r>
              <w:proofErr w:type="spellEnd"/>
              <w:r w:rsidR="00433D81" w:rsidRPr="002148AA">
                <w:rPr>
                  <w:rStyle w:val="Hyperlink"/>
                </w:rPr>
                <w:t xml:space="preserve"> </w:t>
              </w:r>
              <w:proofErr w:type="spellStart"/>
              <w:r w:rsidR="00433D81" w:rsidRPr="002148AA">
                <w:rPr>
                  <w:rStyle w:val="Hyperlink"/>
                </w:rPr>
                <w:t>gabimeve</w:t>
              </w:r>
              <w:proofErr w:type="spellEnd"/>
            </w:hyperlink>
          </w:p>
        </w:tc>
      </w:tr>
      <w:tr w:rsidR="00E43898" w:rsidRPr="00430D9B" w14:paraId="2F7C757E" w14:textId="77777777" w:rsidTr="00430D9B">
        <w:trPr>
          <w:trHeight w:val="567"/>
        </w:trPr>
        <w:tc>
          <w:tcPr>
            <w:tcW w:w="2518" w:type="dxa"/>
            <w:shd w:val="clear" w:color="auto" w:fill="FFFFCC"/>
            <w:noWrap/>
            <w:vAlign w:val="center"/>
            <w:hideMark/>
          </w:tcPr>
          <w:p w14:paraId="26F7D3AC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17.2. Praktika e rishikimit  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C80424F" w14:textId="34FB62CD" w:rsidR="00E43898" w:rsidRPr="00D31023" w:rsidRDefault="00ED1372" w:rsidP="005802B1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INSTAT nuk ka bërë rishikime në të dhëna p</w:t>
            </w:r>
            <w:r w:rsidR="000815FD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ër </w:t>
            </w:r>
            <w:r w:rsidR="0067473D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statistikat e k</w:t>
            </w:r>
            <w:r w:rsidR="00CD6B38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ulturës</w:t>
            </w:r>
            <w:r w:rsidR="000815FD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20</w:t>
            </w:r>
            <w:r w:rsidR="005802B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20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</w:t>
            </w:r>
            <w:r w:rsidR="0067473D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</w:tc>
      </w:tr>
      <w:tr w:rsidR="003A26F6" w:rsidRPr="00430D9B" w14:paraId="1CD77AA3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vAlign w:val="center"/>
            <w:hideMark/>
          </w:tcPr>
          <w:p w14:paraId="54B41D5E" w14:textId="77777777" w:rsidR="003A26F6" w:rsidRPr="00430D9B" w:rsidRDefault="003A26F6" w:rsidP="00430D9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7" w:name="_Toc63084905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18.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Përpunimi statistikor</w:t>
            </w:r>
            <w:bookmarkEnd w:id="17"/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 </w:t>
            </w:r>
          </w:p>
        </w:tc>
      </w:tr>
      <w:tr w:rsidR="00E43898" w:rsidRPr="00430D9B" w14:paraId="19FE2501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118890BD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18.1. Burimi i të dhënave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F256E1D" w14:textId="60E9AB7E" w:rsidR="00E43898" w:rsidRPr="00D31023" w:rsidRDefault="00F7520F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Të dhënat bazohet në burime administrative. Ofruesit kryesorë të të dhënave të  statistikave të kulturës janë: Ministria e Kulturës</w:t>
            </w:r>
          </w:p>
        </w:tc>
      </w:tr>
      <w:tr w:rsidR="00B15F7B" w:rsidRPr="00430D9B" w14:paraId="1A64EC5A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45DE625E" w14:textId="77777777" w:rsidR="00011189" w:rsidRPr="00430D9B" w:rsidRDefault="00011189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18.2. Shpeshtësia e grumbullimit të të dhënave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7F70832A" w14:textId="7056DB7A" w:rsidR="00011189" w:rsidRPr="00D31023" w:rsidRDefault="005325A2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Të dhënat grumbullohen çdo tremujor.</w:t>
            </w:r>
          </w:p>
        </w:tc>
      </w:tr>
      <w:tr w:rsidR="00E43898" w:rsidRPr="00430D9B" w14:paraId="7BF39C8F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2CCC098B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18.3. Grumbullimi i të dhënave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A96F2F6" w14:textId="6CFA5CE3" w:rsidR="00E43898" w:rsidRPr="00D31023" w:rsidRDefault="00222EFD" w:rsidP="00D15D83">
            <w:pPr>
              <w:spacing w:before="20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Instituti i Statistikave organizon punën për llogaritjen e indikato</w:t>
            </w:r>
            <w:r w:rsidR="00D15D8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rëve dhe statistikave të kulturë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s, e orientuar nga Programi i Statistikave</w:t>
            </w:r>
            <w:r w:rsidR="00EC07BA"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 Zyrtare dhe Ligji i Statistikave</w:t>
            </w:r>
            <w:r w:rsidRPr="00D3102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. Ministria e Kulturës është burimi kryesor i të dhënave për të gjitha treguesit që publikohen sipas këtij programi.</w:t>
            </w:r>
          </w:p>
        </w:tc>
      </w:tr>
      <w:tr w:rsidR="00E43898" w:rsidRPr="00430D9B" w14:paraId="26145D11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4BCA07F2" w14:textId="77777777" w:rsidR="00E43898" w:rsidRPr="00430D9B" w:rsidRDefault="00E43898" w:rsidP="00430D9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18.4. Vlefshmëria e të dhënave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525C6C51" w14:textId="77777777" w:rsidR="00CD6B38" w:rsidRPr="00CD6B38" w:rsidRDefault="00CD6B38" w:rsidP="00D31023">
            <w:pPr>
              <w:spacing w:before="20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D6B3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Për të rishikuar, vlerësuar të dhënat e kulturës kryhen analiza e cilësisë së të dhënave: </w:t>
            </w:r>
          </w:p>
          <w:p w14:paraId="3EB44674" w14:textId="77777777" w:rsidR="00CD6B38" w:rsidRPr="00CD6B38" w:rsidRDefault="00CD6B38" w:rsidP="00097048">
            <w:pPr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D6B3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-  Kontrolli logjik i të dhënave; </w:t>
            </w:r>
          </w:p>
          <w:p w14:paraId="24FFA09E" w14:textId="77777777" w:rsidR="00CD6B38" w:rsidRPr="00CD6B38" w:rsidRDefault="00CD6B38" w:rsidP="00097048">
            <w:pPr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D6B3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-  Krahasimi i të dhënave në seri kohore;</w:t>
            </w:r>
          </w:p>
          <w:p w14:paraId="209F9B45" w14:textId="33AEEEE4" w:rsidR="00E43898" w:rsidRPr="00430D9B" w:rsidRDefault="00CD6B38" w:rsidP="00097048">
            <w:pPr>
              <w:spacing w:after="24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CD6B3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- Grupimi i të dhëna</w:t>
            </w:r>
            <w:r w:rsidR="00003A1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ve ku është e nevojshme për mos</w:t>
            </w:r>
            <w:r w:rsidRPr="00CD6B3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cënimin e parimit të koefidencialitetit</w:t>
            </w:r>
          </w:p>
        </w:tc>
      </w:tr>
      <w:tr w:rsidR="005325A2" w:rsidRPr="00430D9B" w14:paraId="671B4CD8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76431516" w14:textId="77777777" w:rsidR="005325A2" w:rsidRPr="00430D9B" w:rsidRDefault="005325A2" w:rsidP="005325A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18.5. Përpilimi i të dhënave 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68CEAE0" w14:textId="1D3218F3" w:rsidR="005325A2" w:rsidRPr="00430D9B" w:rsidRDefault="005325A2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25A2" w:rsidRPr="00430D9B" w14:paraId="4E96FE14" w14:textId="77777777" w:rsidTr="00430D9B">
        <w:trPr>
          <w:trHeight w:val="567"/>
        </w:trPr>
        <w:tc>
          <w:tcPr>
            <w:tcW w:w="2518" w:type="dxa"/>
            <w:shd w:val="clear" w:color="auto" w:fill="FFFFCC"/>
            <w:vAlign w:val="center"/>
            <w:hideMark/>
          </w:tcPr>
          <w:p w14:paraId="1D5FE086" w14:textId="77777777" w:rsidR="005325A2" w:rsidRPr="00430D9B" w:rsidRDefault="005325A2" w:rsidP="005325A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r w:rsidRPr="00430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18.6. Rregullimi</w:t>
            </w:r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0235374C" w14:textId="7C4A22C2" w:rsidR="005325A2" w:rsidRPr="00D31023" w:rsidRDefault="005325A2" w:rsidP="00D31023">
            <w:pPr>
              <w:spacing w:before="20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25A2" w:rsidRPr="00430D9B" w14:paraId="683E9830" w14:textId="77777777" w:rsidTr="00430D9B">
        <w:trPr>
          <w:trHeight w:val="567"/>
        </w:trPr>
        <w:tc>
          <w:tcPr>
            <w:tcW w:w="2518" w:type="dxa"/>
            <w:shd w:val="clear" w:color="auto" w:fill="FBD4B4" w:themeFill="accent6" w:themeFillTint="66"/>
            <w:vAlign w:val="center"/>
            <w:hideMark/>
          </w:tcPr>
          <w:p w14:paraId="119E2A33" w14:textId="77777777" w:rsidR="005325A2" w:rsidRPr="00430D9B" w:rsidRDefault="005325A2" w:rsidP="005325A2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8" w:name="_Toc63084906"/>
            <w:r w:rsidRPr="00430D9B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 xml:space="preserve">19. </w:t>
            </w:r>
            <w:r w:rsidRPr="00430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q-AL" w:eastAsia="sq-AL"/>
              </w:rPr>
              <w:t>Komente</w:t>
            </w:r>
            <w:bookmarkEnd w:id="18"/>
          </w:p>
        </w:tc>
        <w:tc>
          <w:tcPr>
            <w:tcW w:w="8164" w:type="dxa"/>
            <w:shd w:val="clear" w:color="auto" w:fill="auto"/>
            <w:noWrap/>
            <w:vAlign w:val="center"/>
            <w:hideMark/>
          </w:tcPr>
          <w:p w14:paraId="7BC5A457" w14:textId="77777777" w:rsidR="005325A2" w:rsidRPr="00430D9B" w:rsidRDefault="005325A2" w:rsidP="005325A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19" w:name="_GoBack"/>
            <w:bookmarkEnd w:id="19"/>
          </w:p>
        </w:tc>
      </w:tr>
      <w:tr w:rsidR="005325A2" w:rsidRPr="00430D9B" w14:paraId="63504199" w14:textId="77777777" w:rsidTr="00430D9B">
        <w:trPr>
          <w:trHeight w:val="567"/>
        </w:trPr>
        <w:tc>
          <w:tcPr>
            <w:tcW w:w="10682" w:type="dxa"/>
            <w:gridSpan w:val="2"/>
            <w:shd w:val="clear" w:color="auto" w:fill="FBD4B4" w:themeFill="accent6" w:themeFillTint="66"/>
            <w:vAlign w:val="center"/>
            <w:hideMark/>
          </w:tcPr>
          <w:p w14:paraId="44614992" w14:textId="77777777" w:rsidR="005325A2" w:rsidRPr="00430D9B" w:rsidRDefault="005325A2" w:rsidP="005325A2">
            <w:pPr>
              <w:pStyle w:val="Heading1"/>
              <w:spacing w:befor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</w:pPr>
            <w:bookmarkStart w:id="20" w:name="_Toc63084907"/>
            <w:r w:rsidRPr="00430D9B">
              <w:rPr>
                <w:rFonts w:ascii="Times New Roman" w:eastAsia="Times New Roman" w:hAnsi="Times New Roman" w:cs="Times New Roman"/>
                <w:bCs w:val="0"/>
                <w:noProof/>
                <w:color w:val="000000"/>
                <w:sz w:val="24"/>
                <w:szCs w:val="24"/>
                <w:lang w:val="sq-AL" w:eastAsia="sq-AL"/>
              </w:rPr>
              <w:t>Aneks</w:t>
            </w:r>
            <w:bookmarkEnd w:id="20"/>
          </w:p>
        </w:tc>
      </w:tr>
      <w:tr w:rsidR="005325A2" w:rsidRPr="00430D9B" w14:paraId="76F477A8" w14:textId="77777777" w:rsidTr="00CC5BF3">
        <w:trPr>
          <w:trHeight w:val="305"/>
        </w:trPr>
        <w:tc>
          <w:tcPr>
            <w:tcW w:w="10682" w:type="dxa"/>
            <w:gridSpan w:val="2"/>
            <w:shd w:val="clear" w:color="auto" w:fill="auto"/>
            <w:vAlign w:val="center"/>
            <w:hideMark/>
          </w:tcPr>
          <w:p w14:paraId="05325506" w14:textId="77777777" w:rsidR="00CC5BF3" w:rsidRPr="00430D9B" w:rsidRDefault="00CC5BF3" w:rsidP="005325A2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q-AL" w:eastAsia="sq-AL"/>
              </w:rPr>
            </w:pPr>
          </w:p>
        </w:tc>
      </w:tr>
    </w:tbl>
    <w:p w14:paraId="1B9F55E1" w14:textId="77777777" w:rsidR="007062AB" w:rsidRPr="006419F1" w:rsidRDefault="007062AB" w:rsidP="001A6FA0">
      <w:pPr>
        <w:spacing w:after="0"/>
        <w:rPr>
          <w:rFonts w:ascii="Times New Roman" w:hAnsi="Times New Roman" w:cs="Times New Roman"/>
          <w:noProof/>
          <w:lang w:val="sq-AL"/>
        </w:rPr>
      </w:pPr>
    </w:p>
    <w:sectPr w:rsidR="007062AB" w:rsidRPr="006419F1" w:rsidSect="00A90573">
      <w:footerReference w:type="default" r:id="rId20"/>
      <w:pgSz w:w="11906" w:h="16838"/>
      <w:pgMar w:top="99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49312" w14:textId="77777777" w:rsidR="00502E83" w:rsidRDefault="00502E83" w:rsidP="00FA1304">
      <w:pPr>
        <w:spacing w:after="0" w:line="240" w:lineRule="auto"/>
      </w:pPr>
      <w:r>
        <w:separator/>
      </w:r>
    </w:p>
  </w:endnote>
  <w:endnote w:type="continuationSeparator" w:id="0">
    <w:p w14:paraId="54676198" w14:textId="77777777" w:rsidR="00502E83" w:rsidRDefault="00502E83" w:rsidP="00FA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663"/>
      <w:docPartObj>
        <w:docPartGallery w:val="Page Numbers (Bottom of Page)"/>
        <w:docPartUnique/>
      </w:docPartObj>
    </w:sdtPr>
    <w:sdtEndPr/>
    <w:sdtContent>
      <w:p w14:paraId="33CAF518" w14:textId="77777777" w:rsidR="00FA1304" w:rsidRDefault="003A0F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B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C2969E5" w14:textId="77777777" w:rsidR="00FA1304" w:rsidRDefault="00FA1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FA0CA" w14:textId="77777777" w:rsidR="00502E83" w:rsidRDefault="00502E83" w:rsidP="00FA1304">
      <w:pPr>
        <w:spacing w:after="0" w:line="240" w:lineRule="auto"/>
      </w:pPr>
      <w:r>
        <w:separator/>
      </w:r>
    </w:p>
  </w:footnote>
  <w:footnote w:type="continuationSeparator" w:id="0">
    <w:p w14:paraId="6ED35921" w14:textId="77777777" w:rsidR="00502E83" w:rsidRDefault="00502E83" w:rsidP="00FA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91D"/>
    <w:multiLevelType w:val="hybridMultilevel"/>
    <w:tmpl w:val="35709BBC"/>
    <w:lvl w:ilvl="0" w:tplc="041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5A234D8"/>
    <w:multiLevelType w:val="hybridMultilevel"/>
    <w:tmpl w:val="60C0FAF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0C8E44E4"/>
    <w:multiLevelType w:val="hybridMultilevel"/>
    <w:tmpl w:val="9D2C3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D5DC6"/>
    <w:multiLevelType w:val="hybridMultilevel"/>
    <w:tmpl w:val="8B0850E6"/>
    <w:lvl w:ilvl="0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030B8E"/>
    <w:multiLevelType w:val="hybridMultilevel"/>
    <w:tmpl w:val="DFA0C0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7BD0"/>
    <w:multiLevelType w:val="hybridMultilevel"/>
    <w:tmpl w:val="0EDA0E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2D36810"/>
    <w:multiLevelType w:val="hybridMultilevel"/>
    <w:tmpl w:val="D10C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66AE"/>
    <w:multiLevelType w:val="hybridMultilevel"/>
    <w:tmpl w:val="F8F6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14F38"/>
    <w:multiLevelType w:val="hybridMultilevel"/>
    <w:tmpl w:val="897CFB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E80EB6"/>
    <w:multiLevelType w:val="hybridMultilevel"/>
    <w:tmpl w:val="A8463318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3C0C"/>
    <w:multiLevelType w:val="hybridMultilevel"/>
    <w:tmpl w:val="33CEBEFE"/>
    <w:lvl w:ilvl="0" w:tplc="81C4BF22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1">
    <w:nsid w:val="1BFF3F59"/>
    <w:multiLevelType w:val="hybridMultilevel"/>
    <w:tmpl w:val="06E4D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E5905"/>
    <w:multiLevelType w:val="hybridMultilevel"/>
    <w:tmpl w:val="9BE89244"/>
    <w:lvl w:ilvl="0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F159D5"/>
    <w:multiLevelType w:val="hybridMultilevel"/>
    <w:tmpl w:val="A1723B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28876B05"/>
    <w:multiLevelType w:val="hybridMultilevel"/>
    <w:tmpl w:val="8FFE68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C79CC"/>
    <w:multiLevelType w:val="hybridMultilevel"/>
    <w:tmpl w:val="E58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241FC"/>
    <w:multiLevelType w:val="hybridMultilevel"/>
    <w:tmpl w:val="5FD4D6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334E64B4"/>
    <w:multiLevelType w:val="hybridMultilevel"/>
    <w:tmpl w:val="DE02AE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90339B"/>
    <w:multiLevelType w:val="hybridMultilevel"/>
    <w:tmpl w:val="EFF4F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072982"/>
    <w:multiLevelType w:val="hybridMultilevel"/>
    <w:tmpl w:val="4DB46A7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916E1"/>
    <w:multiLevelType w:val="hybridMultilevel"/>
    <w:tmpl w:val="CF3E006A"/>
    <w:lvl w:ilvl="0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3A6C87"/>
    <w:multiLevelType w:val="hybridMultilevel"/>
    <w:tmpl w:val="BE9E6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462BB1"/>
    <w:multiLevelType w:val="hybridMultilevel"/>
    <w:tmpl w:val="22DE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F192A"/>
    <w:multiLevelType w:val="hybridMultilevel"/>
    <w:tmpl w:val="22DCB5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2581F"/>
    <w:multiLevelType w:val="hybridMultilevel"/>
    <w:tmpl w:val="14B24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1218E2"/>
    <w:multiLevelType w:val="hybridMultilevel"/>
    <w:tmpl w:val="8466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35DFD"/>
    <w:multiLevelType w:val="hybridMultilevel"/>
    <w:tmpl w:val="EA9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F2033"/>
    <w:multiLevelType w:val="hybridMultilevel"/>
    <w:tmpl w:val="F9583A4A"/>
    <w:lvl w:ilvl="0" w:tplc="81C4BF22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440E0"/>
    <w:multiLevelType w:val="hybridMultilevel"/>
    <w:tmpl w:val="6D92FD14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654D0662"/>
    <w:multiLevelType w:val="hybridMultilevel"/>
    <w:tmpl w:val="15C8E0A6"/>
    <w:lvl w:ilvl="0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954840"/>
    <w:multiLevelType w:val="hybridMultilevel"/>
    <w:tmpl w:val="E7740F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657632"/>
    <w:multiLevelType w:val="hybridMultilevel"/>
    <w:tmpl w:val="65106F0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80054"/>
    <w:multiLevelType w:val="hybridMultilevel"/>
    <w:tmpl w:val="AFEA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37217"/>
    <w:multiLevelType w:val="hybridMultilevel"/>
    <w:tmpl w:val="495A7EC8"/>
    <w:lvl w:ilvl="0" w:tplc="41E2D4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6C0AD6"/>
    <w:multiLevelType w:val="hybridMultilevel"/>
    <w:tmpl w:val="A4B895E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>
    <w:nsid w:val="79074254"/>
    <w:multiLevelType w:val="hybridMultilevel"/>
    <w:tmpl w:val="AECE9B76"/>
    <w:lvl w:ilvl="0" w:tplc="D46252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E46EC"/>
    <w:multiLevelType w:val="hybridMultilevel"/>
    <w:tmpl w:val="20F4ADDC"/>
    <w:lvl w:ilvl="0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16"/>
  </w:num>
  <w:num w:numId="5">
    <w:abstractNumId w:val="5"/>
  </w:num>
  <w:num w:numId="6">
    <w:abstractNumId w:val="13"/>
  </w:num>
  <w:num w:numId="7">
    <w:abstractNumId w:val="18"/>
  </w:num>
  <w:num w:numId="8">
    <w:abstractNumId w:val="25"/>
  </w:num>
  <w:num w:numId="9">
    <w:abstractNumId w:val="32"/>
  </w:num>
  <w:num w:numId="10">
    <w:abstractNumId w:val="2"/>
  </w:num>
  <w:num w:numId="11">
    <w:abstractNumId w:val="3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9"/>
  </w:num>
  <w:num w:numId="15">
    <w:abstractNumId w:val="23"/>
  </w:num>
  <w:num w:numId="16">
    <w:abstractNumId w:val="22"/>
  </w:num>
  <w:num w:numId="17">
    <w:abstractNumId w:val="21"/>
  </w:num>
  <w:num w:numId="18">
    <w:abstractNumId w:val="4"/>
  </w:num>
  <w:num w:numId="19">
    <w:abstractNumId w:val="35"/>
  </w:num>
  <w:num w:numId="20">
    <w:abstractNumId w:val="34"/>
  </w:num>
  <w:num w:numId="21">
    <w:abstractNumId w:val="8"/>
  </w:num>
  <w:num w:numId="22">
    <w:abstractNumId w:val="19"/>
  </w:num>
  <w:num w:numId="23">
    <w:abstractNumId w:val="12"/>
  </w:num>
  <w:num w:numId="24">
    <w:abstractNumId w:val="0"/>
  </w:num>
  <w:num w:numId="25">
    <w:abstractNumId w:val="29"/>
  </w:num>
  <w:num w:numId="26">
    <w:abstractNumId w:val="20"/>
  </w:num>
  <w:num w:numId="27">
    <w:abstractNumId w:val="3"/>
  </w:num>
  <w:num w:numId="28">
    <w:abstractNumId w:val="36"/>
  </w:num>
  <w:num w:numId="29">
    <w:abstractNumId w:val="14"/>
  </w:num>
  <w:num w:numId="30">
    <w:abstractNumId w:val="31"/>
  </w:num>
  <w:num w:numId="31">
    <w:abstractNumId w:val="10"/>
  </w:num>
  <w:num w:numId="32">
    <w:abstractNumId w:val="7"/>
  </w:num>
  <w:num w:numId="33">
    <w:abstractNumId w:val="1"/>
  </w:num>
  <w:num w:numId="34">
    <w:abstractNumId w:val="6"/>
  </w:num>
  <w:num w:numId="35">
    <w:abstractNumId w:val="15"/>
  </w:num>
  <w:num w:numId="36">
    <w:abstractNumId w:val="27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7A"/>
    <w:rsid w:val="00003A17"/>
    <w:rsid w:val="00011189"/>
    <w:rsid w:val="000121F1"/>
    <w:rsid w:val="00017DA0"/>
    <w:rsid w:val="00021F57"/>
    <w:rsid w:val="00024A4A"/>
    <w:rsid w:val="0003026A"/>
    <w:rsid w:val="000424F0"/>
    <w:rsid w:val="00047DFA"/>
    <w:rsid w:val="00052EAD"/>
    <w:rsid w:val="000628C5"/>
    <w:rsid w:val="00065B68"/>
    <w:rsid w:val="00066D29"/>
    <w:rsid w:val="000801D3"/>
    <w:rsid w:val="000815FD"/>
    <w:rsid w:val="000934A4"/>
    <w:rsid w:val="00097048"/>
    <w:rsid w:val="00097D08"/>
    <w:rsid w:val="00097E6A"/>
    <w:rsid w:val="000B0109"/>
    <w:rsid w:val="000B59BC"/>
    <w:rsid w:val="000C1175"/>
    <w:rsid w:val="000C43FD"/>
    <w:rsid w:val="000E3968"/>
    <w:rsid w:val="000E59A9"/>
    <w:rsid w:val="000E7F58"/>
    <w:rsid w:val="000F1E09"/>
    <w:rsid w:val="000F21F5"/>
    <w:rsid w:val="000F3421"/>
    <w:rsid w:val="000F63FF"/>
    <w:rsid w:val="00110C62"/>
    <w:rsid w:val="001272B3"/>
    <w:rsid w:val="00135AE5"/>
    <w:rsid w:val="00135CB2"/>
    <w:rsid w:val="001415EF"/>
    <w:rsid w:val="0015494D"/>
    <w:rsid w:val="00157670"/>
    <w:rsid w:val="00163BA0"/>
    <w:rsid w:val="00181854"/>
    <w:rsid w:val="00194C4E"/>
    <w:rsid w:val="001A1D2C"/>
    <w:rsid w:val="001A5A1B"/>
    <w:rsid w:val="001A6FA0"/>
    <w:rsid w:val="001B29BC"/>
    <w:rsid w:val="001B3D68"/>
    <w:rsid w:val="001C22BD"/>
    <w:rsid w:val="001C57B7"/>
    <w:rsid w:val="002032D3"/>
    <w:rsid w:val="002149D3"/>
    <w:rsid w:val="00214A13"/>
    <w:rsid w:val="00222AB0"/>
    <w:rsid w:val="00222EFD"/>
    <w:rsid w:val="0022342D"/>
    <w:rsid w:val="00223F89"/>
    <w:rsid w:val="00233D78"/>
    <w:rsid w:val="00244796"/>
    <w:rsid w:val="00247A56"/>
    <w:rsid w:val="002509D1"/>
    <w:rsid w:val="00252804"/>
    <w:rsid w:val="00254744"/>
    <w:rsid w:val="002608B6"/>
    <w:rsid w:val="00263968"/>
    <w:rsid w:val="00275DAC"/>
    <w:rsid w:val="0028142A"/>
    <w:rsid w:val="00284F19"/>
    <w:rsid w:val="002856E1"/>
    <w:rsid w:val="00293400"/>
    <w:rsid w:val="002947B8"/>
    <w:rsid w:val="00294ED9"/>
    <w:rsid w:val="002B0823"/>
    <w:rsid w:val="002B3446"/>
    <w:rsid w:val="002C52D0"/>
    <w:rsid w:val="002D08ED"/>
    <w:rsid w:val="002D3A98"/>
    <w:rsid w:val="002D5353"/>
    <w:rsid w:val="002E2676"/>
    <w:rsid w:val="002F4C79"/>
    <w:rsid w:val="00304982"/>
    <w:rsid w:val="003070CF"/>
    <w:rsid w:val="0031724C"/>
    <w:rsid w:val="00326A81"/>
    <w:rsid w:val="00327CF3"/>
    <w:rsid w:val="003363B7"/>
    <w:rsid w:val="00336576"/>
    <w:rsid w:val="00343A0D"/>
    <w:rsid w:val="00346397"/>
    <w:rsid w:val="003565CE"/>
    <w:rsid w:val="00356E01"/>
    <w:rsid w:val="00377F77"/>
    <w:rsid w:val="00377F9C"/>
    <w:rsid w:val="00384D79"/>
    <w:rsid w:val="00385E02"/>
    <w:rsid w:val="00386C49"/>
    <w:rsid w:val="00391E47"/>
    <w:rsid w:val="003A0FA0"/>
    <w:rsid w:val="003A26F6"/>
    <w:rsid w:val="003A7D81"/>
    <w:rsid w:val="003B134C"/>
    <w:rsid w:val="003B3458"/>
    <w:rsid w:val="003B7D3E"/>
    <w:rsid w:val="003C06EA"/>
    <w:rsid w:val="003C07E9"/>
    <w:rsid w:val="003D3C8E"/>
    <w:rsid w:val="003D5AB8"/>
    <w:rsid w:val="003E07DF"/>
    <w:rsid w:val="003E267A"/>
    <w:rsid w:val="003E48CE"/>
    <w:rsid w:val="003F0448"/>
    <w:rsid w:val="003F3569"/>
    <w:rsid w:val="003F3973"/>
    <w:rsid w:val="0040187D"/>
    <w:rsid w:val="004056D2"/>
    <w:rsid w:val="00407D93"/>
    <w:rsid w:val="0041437D"/>
    <w:rsid w:val="004229B6"/>
    <w:rsid w:val="00426715"/>
    <w:rsid w:val="00430D9B"/>
    <w:rsid w:val="00433D81"/>
    <w:rsid w:val="004446B2"/>
    <w:rsid w:val="0045373F"/>
    <w:rsid w:val="00457D5E"/>
    <w:rsid w:val="00460CC1"/>
    <w:rsid w:val="00461FA9"/>
    <w:rsid w:val="00471778"/>
    <w:rsid w:val="00474588"/>
    <w:rsid w:val="00477D1D"/>
    <w:rsid w:val="0048078D"/>
    <w:rsid w:val="00494CE5"/>
    <w:rsid w:val="00494EE8"/>
    <w:rsid w:val="00495EAE"/>
    <w:rsid w:val="004A561F"/>
    <w:rsid w:val="004C4105"/>
    <w:rsid w:val="004C45D3"/>
    <w:rsid w:val="004C49B9"/>
    <w:rsid w:val="004C69D8"/>
    <w:rsid w:val="004D78A9"/>
    <w:rsid w:val="004F68A1"/>
    <w:rsid w:val="00502E83"/>
    <w:rsid w:val="005046A3"/>
    <w:rsid w:val="00513A81"/>
    <w:rsid w:val="0051472B"/>
    <w:rsid w:val="00520D48"/>
    <w:rsid w:val="005325A2"/>
    <w:rsid w:val="00533624"/>
    <w:rsid w:val="00547988"/>
    <w:rsid w:val="00552AC6"/>
    <w:rsid w:val="0055408D"/>
    <w:rsid w:val="00555151"/>
    <w:rsid w:val="00557107"/>
    <w:rsid w:val="005641BD"/>
    <w:rsid w:val="00571615"/>
    <w:rsid w:val="005802B1"/>
    <w:rsid w:val="00586B0B"/>
    <w:rsid w:val="00591509"/>
    <w:rsid w:val="005A3CA6"/>
    <w:rsid w:val="005A5453"/>
    <w:rsid w:val="005B7EF1"/>
    <w:rsid w:val="005D083D"/>
    <w:rsid w:val="005E049C"/>
    <w:rsid w:val="005E21E7"/>
    <w:rsid w:val="005E4644"/>
    <w:rsid w:val="005F2DFC"/>
    <w:rsid w:val="005F6FA4"/>
    <w:rsid w:val="006001A2"/>
    <w:rsid w:val="00601E51"/>
    <w:rsid w:val="00606EFC"/>
    <w:rsid w:val="006073EB"/>
    <w:rsid w:val="00617106"/>
    <w:rsid w:val="006216B8"/>
    <w:rsid w:val="00627C5B"/>
    <w:rsid w:val="00631163"/>
    <w:rsid w:val="00635F31"/>
    <w:rsid w:val="006419F1"/>
    <w:rsid w:val="006478B1"/>
    <w:rsid w:val="00665425"/>
    <w:rsid w:val="00673015"/>
    <w:rsid w:val="0067473D"/>
    <w:rsid w:val="006912E1"/>
    <w:rsid w:val="00694B94"/>
    <w:rsid w:val="006965BE"/>
    <w:rsid w:val="006A348C"/>
    <w:rsid w:val="006A4ED9"/>
    <w:rsid w:val="006C1E70"/>
    <w:rsid w:val="006D67DF"/>
    <w:rsid w:val="006E6CE8"/>
    <w:rsid w:val="007051A6"/>
    <w:rsid w:val="007062AB"/>
    <w:rsid w:val="00714EF5"/>
    <w:rsid w:val="00725F8A"/>
    <w:rsid w:val="0072637A"/>
    <w:rsid w:val="0072790D"/>
    <w:rsid w:val="00731E30"/>
    <w:rsid w:val="00735EC3"/>
    <w:rsid w:val="00750E60"/>
    <w:rsid w:val="00757239"/>
    <w:rsid w:val="00761472"/>
    <w:rsid w:val="00763B25"/>
    <w:rsid w:val="00780B6F"/>
    <w:rsid w:val="00791FA5"/>
    <w:rsid w:val="0079602F"/>
    <w:rsid w:val="00796650"/>
    <w:rsid w:val="0079786F"/>
    <w:rsid w:val="007B1894"/>
    <w:rsid w:val="007B3C66"/>
    <w:rsid w:val="007B5884"/>
    <w:rsid w:val="007C2B11"/>
    <w:rsid w:val="007D6C67"/>
    <w:rsid w:val="007D72C7"/>
    <w:rsid w:val="007E758C"/>
    <w:rsid w:val="00805708"/>
    <w:rsid w:val="00810598"/>
    <w:rsid w:val="00813FA3"/>
    <w:rsid w:val="00820B3F"/>
    <w:rsid w:val="00821042"/>
    <w:rsid w:val="0082329B"/>
    <w:rsid w:val="00840ED6"/>
    <w:rsid w:val="00843208"/>
    <w:rsid w:val="00855B13"/>
    <w:rsid w:val="008624BF"/>
    <w:rsid w:val="00881D9D"/>
    <w:rsid w:val="008857EA"/>
    <w:rsid w:val="00886A87"/>
    <w:rsid w:val="008971C1"/>
    <w:rsid w:val="008A4F2D"/>
    <w:rsid w:val="008A736D"/>
    <w:rsid w:val="008B1665"/>
    <w:rsid w:val="008B761A"/>
    <w:rsid w:val="008C2688"/>
    <w:rsid w:val="008C3892"/>
    <w:rsid w:val="008C765E"/>
    <w:rsid w:val="008D1C67"/>
    <w:rsid w:val="008E006B"/>
    <w:rsid w:val="008F5DCC"/>
    <w:rsid w:val="00903157"/>
    <w:rsid w:val="00932F91"/>
    <w:rsid w:val="0093733B"/>
    <w:rsid w:val="00940C09"/>
    <w:rsid w:val="00941986"/>
    <w:rsid w:val="009476F0"/>
    <w:rsid w:val="00964769"/>
    <w:rsid w:val="009819D1"/>
    <w:rsid w:val="009876D4"/>
    <w:rsid w:val="0099586D"/>
    <w:rsid w:val="009959D3"/>
    <w:rsid w:val="009A7035"/>
    <w:rsid w:val="009C72A3"/>
    <w:rsid w:val="009C7EC0"/>
    <w:rsid w:val="009D1A9B"/>
    <w:rsid w:val="009F03D6"/>
    <w:rsid w:val="009F08CC"/>
    <w:rsid w:val="009F664F"/>
    <w:rsid w:val="00A0085D"/>
    <w:rsid w:val="00A01647"/>
    <w:rsid w:val="00A1130E"/>
    <w:rsid w:val="00A36F1C"/>
    <w:rsid w:val="00A425D1"/>
    <w:rsid w:val="00A43688"/>
    <w:rsid w:val="00A5709F"/>
    <w:rsid w:val="00A671B0"/>
    <w:rsid w:val="00A740D2"/>
    <w:rsid w:val="00A75684"/>
    <w:rsid w:val="00A90573"/>
    <w:rsid w:val="00A90D3E"/>
    <w:rsid w:val="00A9279C"/>
    <w:rsid w:val="00AA6706"/>
    <w:rsid w:val="00AC5A76"/>
    <w:rsid w:val="00AC78F6"/>
    <w:rsid w:val="00AE693C"/>
    <w:rsid w:val="00AF52C8"/>
    <w:rsid w:val="00B049AE"/>
    <w:rsid w:val="00B06C45"/>
    <w:rsid w:val="00B10DB8"/>
    <w:rsid w:val="00B122E5"/>
    <w:rsid w:val="00B15F7B"/>
    <w:rsid w:val="00B20B91"/>
    <w:rsid w:val="00B229CC"/>
    <w:rsid w:val="00B24CD3"/>
    <w:rsid w:val="00B37300"/>
    <w:rsid w:val="00B37ABF"/>
    <w:rsid w:val="00B40241"/>
    <w:rsid w:val="00B416EC"/>
    <w:rsid w:val="00B41B45"/>
    <w:rsid w:val="00B42FF2"/>
    <w:rsid w:val="00B5744A"/>
    <w:rsid w:val="00B61719"/>
    <w:rsid w:val="00B61F58"/>
    <w:rsid w:val="00B64B88"/>
    <w:rsid w:val="00B658E8"/>
    <w:rsid w:val="00B66ED2"/>
    <w:rsid w:val="00B72D62"/>
    <w:rsid w:val="00BA2949"/>
    <w:rsid w:val="00BA5016"/>
    <w:rsid w:val="00BB0370"/>
    <w:rsid w:val="00BC699C"/>
    <w:rsid w:val="00BD66CA"/>
    <w:rsid w:val="00BE3D7F"/>
    <w:rsid w:val="00BE5516"/>
    <w:rsid w:val="00C02671"/>
    <w:rsid w:val="00C0268E"/>
    <w:rsid w:val="00C02F61"/>
    <w:rsid w:val="00C05219"/>
    <w:rsid w:val="00C4250F"/>
    <w:rsid w:val="00C479EC"/>
    <w:rsid w:val="00C54A25"/>
    <w:rsid w:val="00C72879"/>
    <w:rsid w:val="00C75C22"/>
    <w:rsid w:val="00C84718"/>
    <w:rsid w:val="00CA0FB6"/>
    <w:rsid w:val="00CA7C4F"/>
    <w:rsid w:val="00CB45E2"/>
    <w:rsid w:val="00CC2A92"/>
    <w:rsid w:val="00CC5BF3"/>
    <w:rsid w:val="00CD3C4C"/>
    <w:rsid w:val="00CD6B38"/>
    <w:rsid w:val="00CD6D1C"/>
    <w:rsid w:val="00CF0594"/>
    <w:rsid w:val="00D0226F"/>
    <w:rsid w:val="00D07D63"/>
    <w:rsid w:val="00D15D83"/>
    <w:rsid w:val="00D31023"/>
    <w:rsid w:val="00D5071B"/>
    <w:rsid w:val="00D6009D"/>
    <w:rsid w:val="00D70698"/>
    <w:rsid w:val="00D76916"/>
    <w:rsid w:val="00D836CB"/>
    <w:rsid w:val="00D86363"/>
    <w:rsid w:val="00DA72CC"/>
    <w:rsid w:val="00DC3C2F"/>
    <w:rsid w:val="00DC5D77"/>
    <w:rsid w:val="00DD091F"/>
    <w:rsid w:val="00DD64A5"/>
    <w:rsid w:val="00DD6F2A"/>
    <w:rsid w:val="00DE130A"/>
    <w:rsid w:val="00DE1349"/>
    <w:rsid w:val="00E01B08"/>
    <w:rsid w:val="00E2330F"/>
    <w:rsid w:val="00E27F96"/>
    <w:rsid w:val="00E35304"/>
    <w:rsid w:val="00E43898"/>
    <w:rsid w:val="00E44B89"/>
    <w:rsid w:val="00E7137D"/>
    <w:rsid w:val="00E77144"/>
    <w:rsid w:val="00E800DB"/>
    <w:rsid w:val="00E83C92"/>
    <w:rsid w:val="00E84F62"/>
    <w:rsid w:val="00EA1653"/>
    <w:rsid w:val="00EA5F3D"/>
    <w:rsid w:val="00EB687F"/>
    <w:rsid w:val="00EC07BA"/>
    <w:rsid w:val="00ED1372"/>
    <w:rsid w:val="00EE27F9"/>
    <w:rsid w:val="00F024C3"/>
    <w:rsid w:val="00F045AB"/>
    <w:rsid w:val="00F06554"/>
    <w:rsid w:val="00F13A15"/>
    <w:rsid w:val="00F157B3"/>
    <w:rsid w:val="00F16858"/>
    <w:rsid w:val="00F25C78"/>
    <w:rsid w:val="00F32733"/>
    <w:rsid w:val="00F361AB"/>
    <w:rsid w:val="00F3726A"/>
    <w:rsid w:val="00F40025"/>
    <w:rsid w:val="00F41452"/>
    <w:rsid w:val="00F4605B"/>
    <w:rsid w:val="00F475CD"/>
    <w:rsid w:val="00F54024"/>
    <w:rsid w:val="00F61504"/>
    <w:rsid w:val="00F66EE5"/>
    <w:rsid w:val="00F7520F"/>
    <w:rsid w:val="00F80D5E"/>
    <w:rsid w:val="00F87920"/>
    <w:rsid w:val="00F90143"/>
    <w:rsid w:val="00F908D5"/>
    <w:rsid w:val="00F97440"/>
    <w:rsid w:val="00FA1304"/>
    <w:rsid w:val="00FB3602"/>
    <w:rsid w:val="00FB6724"/>
    <w:rsid w:val="00FC1AF9"/>
    <w:rsid w:val="00FC6098"/>
    <w:rsid w:val="00FD4B99"/>
    <w:rsid w:val="00FD53D5"/>
    <w:rsid w:val="00FE138D"/>
    <w:rsid w:val="00FE22B5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A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D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B373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4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E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912E1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377F9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3E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EB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A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3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04"/>
    <w:rPr>
      <w:lang w:val="en-GB"/>
    </w:rPr>
  </w:style>
  <w:style w:type="character" w:customStyle="1" w:styleId="InternetLink">
    <w:name w:val="Internet Link"/>
    <w:basedOn w:val="DefaultParagraphFont"/>
    <w:uiPriority w:val="99"/>
    <w:unhideWhenUsed/>
    <w:rsid w:val="00964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D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B373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4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E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912E1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377F9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3E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EB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A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3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04"/>
    <w:rPr>
      <w:lang w:val="en-GB"/>
    </w:rPr>
  </w:style>
  <w:style w:type="character" w:customStyle="1" w:styleId="InternetLink">
    <w:name w:val="Internet Link"/>
    <w:basedOn w:val="DefaultParagraphFont"/>
    <w:uiPriority w:val="99"/>
    <w:unhideWhenUsed/>
    <w:rsid w:val="00964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t.gov.al/al/rreth-nesh/k&#235;rko-t&#235;-dh&#235;na/k&#235;rkes&#235;-t&#235;-dh&#235;nash-formulari/" TargetMode="External"/><Relationship Id="rId18" Type="http://schemas.openxmlformats.org/officeDocument/2006/relationships/hyperlink" Target="http://www.instat.gov.al/media/2829/politika_e_revizionimi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nstat.gov.al/al/publikime/kalendari/" TargetMode="External"/><Relationship Id="rId17" Type="http://schemas.openxmlformats.org/officeDocument/2006/relationships/hyperlink" Target="http://www.instat.gov.al/al/dokumentimi/cil%C3%ABsia-statistikore/anketa-mbi-k%C3%ABnaq%C3%ABsin%C3%AB-e-p%C3%ABrdorues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tat.gov.al/al/temat/treguesit-demografik&#235;-dhe-social&#235;/kultur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t.gov.al/media/3594/psz-2017-20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at.gov.al/al/rreth-nesh/k&#235;rko-t&#235;-dh&#235;na/k&#235;rkes&#235;-t&#235;-dh&#235;nash-formulari/" TargetMode="External"/><Relationship Id="rId10" Type="http://schemas.openxmlformats.org/officeDocument/2006/relationships/hyperlink" Target="http://www.instat.gov.al/media/3973/ligj-nr-17-dt-542018_per-statistikat-zyrtare.pdf" TargetMode="External"/><Relationship Id="rId19" Type="http://schemas.openxmlformats.org/officeDocument/2006/relationships/hyperlink" Target="http://www.instat.gov.al/media/2828/politika_e_trajtimit_te_gabimev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gorce@instat.gov.al" TargetMode="External"/><Relationship Id="rId14" Type="http://schemas.openxmlformats.org/officeDocument/2006/relationships/hyperlink" Target="http://databaza.instat.gov.al/pxweb/sq/DST/START__C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41A7-8A29-4308-8C73-A92A2E3F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insilsh</dc:creator>
  <cp:lastModifiedBy>Elona Berberi</cp:lastModifiedBy>
  <cp:revision>4</cp:revision>
  <cp:lastPrinted>2016-09-01T07:29:00Z</cp:lastPrinted>
  <dcterms:created xsi:type="dcterms:W3CDTF">2021-02-03T10:44:00Z</dcterms:created>
  <dcterms:modified xsi:type="dcterms:W3CDTF">2021-02-03T10:55:00Z</dcterms:modified>
</cp:coreProperties>
</file>