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A6" w:rsidRDefault="005A3CA6"/>
    <w:p w:rsidR="005A3CA6" w:rsidRDefault="005A3CA6"/>
    <w:p w:rsidR="005A3CA6" w:rsidRDefault="005A3CA6"/>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5A3CA6" w:rsidTr="005A3CA6">
        <w:trPr>
          <w:trHeight w:val="1979"/>
          <w:jc w:val="center"/>
        </w:trPr>
        <w:tc>
          <w:tcPr>
            <w:tcW w:w="8351" w:type="dxa"/>
            <w:shd w:val="clear" w:color="auto" w:fill="FBD4B4" w:themeFill="accent6" w:themeFillTint="66"/>
          </w:tcPr>
          <w:p w:rsidR="00BF1B78" w:rsidRPr="00AD2F82" w:rsidRDefault="00125CCC" w:rsidP="009F56BE">
            <w:pPr>
              <w:spacing w:before="117"/>
              <w:ind w:left="475" w:right="475"/>
              <w:jc w:val="center"/>
              <w:rPr>
                <w:rFonts w:ascii="Times New Roman" w:hAnsi="Times New Roman" w:cs="Times New Roman"/>
                <w:b/>
                <w:sz w:val="36"/>
              </w:rPr>
            </w:pPr>
            <w:r w:rsidRPr="00AD2F82">
              <w:rPr>
                <w:rFonts w:ascii="Times New Roman" w:hAnsi="Times New Roman" w:cs="Times New Roman"/>
                <w:b/>
                <w:sz w:val="36"/>
              </w:rPr>
              <w:t>Bilanci i Energjisë</w:t>
            </w:r>
            <w:r w:rsidR="009F56BE" w:rsidRPr="00AD2F82">
              <w:rPr>
                <w:rFonts w:ascii="Times New Roman" w:hAnsi="Times New Roman" w:cs="Times New Roman"/>
                <w:b/>
                <w:sz w:val="36"/>
              </w:rPr>
              <w:t xml:space="preserve"> E</w:t>
            </w:r>
            <w:r w:rsidRPr="00AD2F82">
              <w:rPr>
                <w:rFonts w:ascii="Times New Roman" w:hAnsi="Times New Roman" w:cs="Times New Roman"/>
                <w:b/>
                <w:sz w:val="36"/>
              </w:rPr>
              <w:t>lektrike</w:t>
            </w:r>
          </w:p>
          <w:p w:rsidR="00066D29" w:rsidRDefault="005A3CA6" w:rsidP="00066D29">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Metad</w:t>
            </w:r>
            <w:r w:rsidR="00066D29">
              <w:rPr>
                <w:rFonts w:ascii="Times New Roman" w:hAnsi="Times New Roman" w:cs="Times New Roman"/>
                <w:sz w:val="28"/>
              </w:rPr>
              <w:t xml:space="preserve">ata Referenciale në format Euro </w:t>
            </w:r>
            <w:r w:rsidRPr="003616FF">
              <w:rPr>
                <w:rFonts w:ascii="Times New Roman" w:hAnsi="Times New Roman" w:cs="Times New Roman"/>
                <w:sz w:val="28"/>
              </w:rPr>
              <w:t xml:space="preserve">SDMX Metadata Structure </w:t>
            </w:r>
          </w:p>
          <w:p w:rsidR="005A3CA6" w:rsidRPr="003616FF" w:rsidRDefault="005A3CA6" w:rsidP="00066D29">
            <w:pPr>
              <w:pStyle w:val="Default"/>
              <w:spacing w:before="120" w:after="120"/>
              <w:jc w:val="center"/>
              <w:rPr>
                <w:rFonts w:ascii="Times New Roman" w:hAnsi="Times New Roman" w:cs="Times New Roman"/>
                <w:sz w:val="28"/>
              </w:rPr>
            </w:pPr>
            <w:r w:rsidRPr="003616FF">
              <w:rPr>
                <w:rFonts w:ascii="Times New Roman" w:hAnsi="Times New Roman" w:cs="Times New Roman"/>
                <w:sz w:val="28"/>
              </w:rPr>
              <w:t>(ESMS)</w:t>
            </w:r>
          </w:p>
          <w:p w:rsidR="005A3CA6" w:rsidRDefault="005A3CA6" w:rsidP="00761472">
            <w:pPr>
              <w:jc w:val="center"/>
            </w:pPr>
            <w:r w:rsidRPr="003616FF">
              <w:rPr>
                <w:rFonts w:ascii="Times New Roman" w:hAnsi="Times New Roman" w:cs="Times New Roman"/>
                <w:sz w:val="36"/>
              </w:rPr>
              <w:t>INSTAT</w:t>
            </w:r>
          </w:p>
        </w:tc>
      </w:tr>
    </w:tbl>
    <w:p w:rsidR="006912E1" w:rsidRDefault="006912E1" w:rsidP="009D3980">
      <w:pPr>
        <w:pStyle w:val="TOCHeading"/>
        <w:rPr>
          <w:rFonts w:asciiTheme="minorHAnsi" w:eastAsiaTheme="minorEastAsia" w:hAnsiTheme="minorHAnsi" w:cstheme="minorBidi"/>
          <w:b w:val="0"/>
          <w:bCs w:val="0"/>
          <w:color w:val="auto"/>
          <w:sz w:val="22"/>
          <w:szCs w:val="22"/>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8B25B4" w:rsidRPr="00761472" w:rsidRDefault="008B25B4" w:rsidP="008B25B4">
          <w:pPr>
            <w:pStyle w:val="TOCHeading"/>
            <w:rPr>
              <w:rFonts w:ascii="Times New Roman" w:hAnsi="Times New Roman" w:cs="Times New Roman"/>
              <w:sz w:val="24"/>
              <w:szCs w:val="24"/>
            </w:rPr>
          </w:pPr>
          <w:r w:rsidRPr="00761472">
            <w:rPr>
              <w:rFonts w:ascii="Times New Roman" w:hAnsi="Times New Roman" w:cs="Times New Roman"/>
              <w:color w:val="000000" w:themeColor="text1"/>
              <w:szCs w:val="24"/>
            </w:rPr>
            <w:t>Metadata Referenciale</w:t>
          </w:r>
        </w:p>
        <w:p w:rsidR="00756FA9" w:rsidRDefault="008B25B4">
          <w:pPr>
            <w:pStyle w:val="TOC1"/>
            <w:tabs>
              <w:tab w:val="right" w:leader="dot" w:pos="10456"/>
            </w:tabs>
            <w:rPr>
              <w:noProof/>
            </w:rPr>
          </w:pPr>
          <w:r w:rsidRPr="00761472">
            <w:rPr>
              <w:rFonts w:ascii="Times New Roman" w:hAnsi="Times New Roman" w:cs="Times New Roman"/>
              <w:sz w:val="24"/>
              <w:szCs w:val="24"/>
            </w:rPr>
            <w:fldChar w:fldCharType="begin"/>
          </w:r>
          <w:r w:rsidRPr="00761472">
            <w:rPr>
              <w:rFonts w:ascii="Times New Roman" w:hAnsi="Times New Roman" w:cs="Times New Roman"/>
              <w:sz w:val="24"/>
              <w:szCs w:val="24"/>
            </w:rPr>
            <w:instrText xml:space="preserve"> TOC \o "1-3" \h \z \u </w:instrText>
          </w:r>
          <w:r w:rsidRPr="00761472">
            <w:rPr>
              <w:rFonts w:ascii="Times New Roman" w:hAnsi="Times New Roman" w:cs="Times New Roman"/>
              <w:sz w:val="24"/>
              <w:szCs w:val="24"/>
            </w:rPr>
            <w:fldChar w:fldCharType="separate"/>
          </w:r>
          <w:hyperlink w:anchor="_Toc65224559" w:history="1">
            <w:r w:rsidR="00756FA9" w:rsidRPr="001C0B59">
              <w:rPr>
                <w:rStyle w:val="Hyperlink"/>
                <w:rFonts w:ascii="Times New Roman" w:eastAsia="Times New Roman" w:hAnsi="Times New Roman" w:cs="Times New Roman"/>
                <w:noProof/>
                <w:lang w:val="sq-AL" w:eastAsia="sq-AL"/>
              </w:rPr>
              <w:t>1. Kontakt</w:t>
            </w:r>
            <w:r w:rsidR="00756FA9">
              <w:rPr>
                <w:noProof/>
                <w:webHidden/>
              </w:rPr>
              <w:tab/>
            </w:r>
            <w:r w:rsidR="00756FA9">
              <w:rPr>
                <w:noProof/>
                <w:webHidden/>
              </w:rPr>
              <w:fldChar w:fldCharType="begin"/>
            </w:r>
            <w:r w:rsidR="00756FA9">
              <w:rPr>
                <w:noProof/>
                <w:webHidden/>
              </w:rPr>
              <w:instrText xml:space="preserve"> PAGEREF _Toc65224559 \h </w:instrText>
            </w:r>
            <w:r w:rsidR="00756FA9">
              <w:rPr>
                <w:noProof/>
                <w:webHidden/>
              </w:rPr>
            </w:r>
            <w:r w:rsidR="00756FA9">
              <w:rPr>
                <w:noProof/>
                <w:webHidden/>
              </w:rPr>
              <w:fldChar w:fldCharType="separate"/>
            </w:r>
            <w:r w:rsidR="00756FA9">
              <w:rPr>
                <w:noProof/>
                <w:webHidden/>
              </w:rPr>
              <w:t>2</w:t>
            </w:r>
            <w:r w:rsidR="00756FA9">
              <w:rPr>
                <w:noProof/>
                <w:webHidden/>
              </w:rPr>
              <w:fldChar w:fldCharType="end"/>
            </w:r>
          </w:hyperlink>
        </w:p>
        <w:p w:rsidR="00756FA9" w:rsidRDefault="00807C82">
          <w:pPr>
            <w:pStyle w:val="TOC1"/>
            <w:tabs>
              <w:tab w:val="right" w:leader="dot" w:pos="10456"/>
            </w:tabs>
            <w:rPr>
              <w:noProof/>
            </w:rPr>
          </w:pPr>
          <w:hyperlink w:anchor="_Toc65224560" w:history="1">
            <w:r w:rsidR="00756FA9" w:rsidRPr="001C0B59">
              <w:rPr>
                <w:rStyle w:val="Hyperlink"/>
                <w:rFonts w:ascii="Times New Roman" w:eastAsia="Times New Roman" w:hAnsi="Times New Roman" w:cs="Times New Roman"/>
                <w:noProof/>
                <w:lang w:val="sq-AL" w:eastAsia="sq-AL"/>
              </w:rPr>
              <w:t>2. Përditësimi i metadatave</w:t>
            </w:r>
            <w:r w:rsidR="00756FA9">
              <w:rPr>
                <w:noProof/>
                <w:webHidden/>
              </w:rPr>
              <w:tab/>
            </w:r>
            <w:r w:rsidR="00756FA9">
              <w:rPr>
                <w:noProof/>
                <w:webHidden/>
              </w:rPr>
              <w:fldChar w:fldCharType="begin"/>
            </w:r>
            <w:r w:rsidR="00756FA9">
              <w:rPr>
                <w:noProof/>
                <w:webHidden/>
              </w:rPr>
              <w:instrText xml:space="preserve"> PAGEREF _Toc65224560 \h </w:instrText>
            </w:r>
            <w:r w:rsidR="00756FA9">
              <w:rPr>
                <w:noProof/>
                <w:webHidden/>
              </w:rPr>
            </w:r>
            <w:r w:rsidR="00756FA9">
              <w:rPr>
                <w:noProof/>
                <w:webHidden/>
              </w:rPr>
              <w:fldChar w:fldCharType="separate"/>
            </w:r>
            <w:r w:rsidR="00756FA9">
              <w:rPr>
                <w:noProof/>
                <w:webHidden/>
              </w:rPr>
              <w:t>2</w:t>
            </w:r>
            <w:r w:rsidR="00756FA9">
              <w:rPr>
                <w:noProof/>
                <w:webHidden/>
              </w:rPr>
              <w:fldChar w:fldCharType="end"/>
            </w:r>
          </w:hyperlink>
        </w:p>
        <w:p w:rsidR="00756FA9" w:rsidRDefault="00807C82">
          <w:pPr>
            <w:pStyle w:val="TOC1"/>
            <w:tabs>
              <w:tab w:val="right" w:leader="dot" w:pos="10456"/>
            </w:tabs>
            <w:rPr>
              <w:noProof/>
            </w:rPr>
          </w:pPr>
          <w:hyperlink w:anchor="_Toc65224561" w:history="1">
            <w:r w:rsidR="00756FA9" w:rsidRPr="001C0B59">
              <w:rPr>
                <w:rStyle w:val="Hyperlink"/>
                <w:rFonts w:ascii="Times New Roman" w:eastAsia="Times New Roman" w:hAnsi="Times New Roman" w:cs="Times New Roman"/>
                <w:noProof/>
                <w:lang w:val="sq-AL" w:eastAsia="sq-AL"/>
              </w:rPr>
              <w:t>3. Paraqitja statistikore</w:t>
            </w:r>
            <w:r w:rsidR="00756FA9">
              <w:rPr>
                <w:noProof/>
                <w:webHidden/>
              </w:rPr>
              <w:tab/>
            </w:r>
            <w:r w:rsidR="00756FA9">
              <w:rPr>
                <w:noProof/>
                <w:webHidden/>
              </w:rPr>
              <w:fldChar w:fldCharType="begin"/>
            </w:r>
            <w:r w:rsidR="00756FA9">
              <w:rPr>
                <w:noProof/>
                <w:webHidden/>
              </w:rPr>
              <w:instrText xml:space="preserve"> PAGEREF _Toc65224561 \h </w:instrText>
            </w:r>
            <w:r w:rsidR="00756FA9">
              <w:rPr>
                <w:noProof/>
                <w:webHidden/>
              </w:rPr>
            </w:r>
            <w:r w:rsidR="00756FA9">
              <w:rPr>
                <w:noProof/>
                <w:webHidden/>
              </w:rPr>
              <w:fldChar w:fldCharType="separate"/>
            </w:r>
            <w:r w:rsidR="00756FA9">
              <w:rPr>
                <w:noProof/>
                <w:webHidden/>
              </w:rPr>
              <w:t>2</w:t>
            </w:r>
            <w:r w:rsidR="00756FA9">
              <w:rPr>
                <w:noProof/>
                <w:webHidden/>
              </w:rPr>
              <w:fldChar w:fldCharType="end"/>
            </w:r>
          </w:hyperlink>
        </w:p>
        <w:p w:rsidR="00756FA9" w:rsidRDefault="00807C82">
          <w:pPr>
            <w:pStyle w:val="TOC1"/>
            <w:tabs>
              <w:tab w:val="right" w:leader="dot" w:pos="10456"/>
            </w:tabs>
            <w:rPr>
              <w:noProof/>
            </w:rPr>
          </w:pPr>
          <w:hyperlink w:anchor="_Toc65224562" w:history="1">
            <w:r w:rsidR="00756FA9" w:rsidRPr="001C0B59">
              <w:rPr>
                <w:rStyle w:val="Hyperlink"/>
                <w:rFonts w:ascii="Times New Roman" w:eastAsia="Times New Roman" w:hAnsi="Times New Roman" w:cs="Times New Roman"/>
                <w:noProof/>
                <w:lang w:val="sq-AL" w:eastAsia="sq-AL"/>
              </w:rPr>
              <w:t>4. Njësia matëse</w:t>
            </w:r>
            <w:r w:rsidR="00756FA9">
              <w:rPr>
                <w:noProof/>
                <w:webHidden/>
              </w:rPr>
              <w:tab/>
            </w:r>
            <w:r w:rsidR="00756FA9">
              <w:rPr>
                <w:noProof/>
                <w:webHidden/>
              </w:rPr>
              <w:fldChar w:fldCharType="begin"/>
            </w:r>
            <w:r w:rsidR="00756FA9">
              <w:rPr>
                <w:noProof/>
                <w:webHidden/>
              </w:rPr>
              <w:instrText xml:space="preserve"> PAGEREF _Toc65224562 \h </w:instrText>
            </w:r>
            <w:r w:rsidR="00756FA9">
              <w:rPr>
                <w:noProof/>
                <w:webHidden/>
              </w:rPr>
            </w:r>
            <w:r w:rsidR="00756FA9">
              <w:rPr>
                <w:noProof/>
                <w:webHidden/>
              </w:rPr>
              <w:fldChar w:fldCharType="separate"/>
            </w:r>
            <w:r w:rsidR="00756FA9">
              <w:rPr>
                <w:noProof/>
                <w:webHidden/>
              </w:rPr>
              <w:t>4</w:t>
            </w:r>
            <w:r w:rsidR="00756FA9">
              <w:rPr>
                <w:noProof/>
                <w:webHidden/>
              </w:rPr>
              <w:fldChar w:fldCharType="end"/>
            </w:r>
          </w:hyperlink>
        </w:p>
        <w:p w:rsidR="00756FA9" w:rsidRDefault="00807C82">
          <w:pPr>
            <w:pStyle w:val="TOC1"/>
            <w:tabs>
              <w:tab w:val="right" w:leader="dot" w:pos="10456"/>
            </w:tabs>
            <w:rPr>
              <w:noProof/>
            </w:rPr>
          </w:pPr>
          <w:hyperlink w:anchor="_Toc65224563" w:history="1">
            <w:r w:rsidR="00756FA9" w:rsidRPr="001C0B59">
              <w:rPr>
                <w:rStyle w:val="Hyperlink"/>
                <w:rFonts w:ascii="Times New Roman" w:eastAsia="Times New Roman" w:hAnsi="Times New Roman" w:cs="Times New Roman"/>
                <w:noProof/>
                <w:lang w:val="sq-AL" w:eastAsia="sq-AL"/>
              </w:rPr>
              <w:t>5. Periudha e referencës</w:t>
            </w:r>
            <w:r w:rsidR="00756FA9">
              <w:rPr>
                <w:noProof/>
                <w:webHidden/>
              </w:rPr>
              <w:tab/>
            </w:r>
            <w:r w:rsidR="00756FA9">
              <w:rPr>
                <w:noProof/>
                <w:webHidden/>
              </w:rPr>
              <w:fldChar w:fldCharType="begin"/>
            </w:r>
            <w:r w:rsidR="00756FA9">
              <w:rPr>
                <w:noProof/>
                <w:webHidden/>
              </w:rPr>
              <w:instrText xml:space="preserve"> PAGEREF _Toc65224563 \h </w:instrText>
            </w:r>
            <w:r w:rsidR="00756FA9">
              <w:rPr>
                <w:noProof/>
                <w:webHidden/>
              </w:rPr>
            </w:r>
            <w:r w:rsidR="00756FA9">
              <w:rPr>
                <w:noProof/>
                <w:webHidden/>
              </w:rPr>
              <w:fldChar w:fldCharType="separate"/>
            </w:r>
            <w:r w:rsidR="00756FA9">
              <w:rPr>
                <w:noProof/>
                <w:webHidden/>
              </w:rPr>
              <w:t>4</w:t>
            </w:r>
            <w:r w:rsidR="00756FA9">
              <w:rPr>
                <w:noProof/>
                <w:webHidden/>
              </w:rPr>
              <w:fldChar w:fldCharType="end"/>
            </w:r>
          </w:hyperlink>
        </w:p>
        <w:p w:rsidR="00756FA9" w:rsidRDefault="00807C82">
          <w:pPr>
            <w:pStyle w:val="TOC1"/>
            <w:tabs>
              <w:tab w:val="right" w:leader="dot" w:pos="10456"/>
            </w:tabs>
            <w:rPr>
              <w:noProof/>
            </w:rPr>
          </w:pPr>
          <w:hyperlink w:anchor="_Toc65224564" w:history="1">
            <w:r w:rsidR="00756FA9" w:rsidRPr="001C0B59">
              <w:rPr>
                <w:rStyle w:val="Hyperlink"/>
                <w:rFonts w:ascii="Times New Roman" w:eastAsia="Times New Roman" w:hAnsi="Times New Roman" w:cs="Times New Roman"/>
                <w:noProof/>
                <w:lang w:val="sq-AL" w:eastAsia="sq-AL"/>
              </w:rPr>
              <w:t>6. Mandati institucional</w:t>
            </w:r>
            <w:r w:rsidR="00756FA9">
              <w:rPr>
                <w:noProof/>
                <w:webHidden/>
              </w:rPr>
              <w:tab/>
            </w:r>
            <w:r w:rsidR="00756FA9">
              <w:rPr>
                <w:noProof/>
                <w:webHidden/>
              </w:rPr>
              <w:fldChar w:fldCharType="begin"/>
            </w:r>
            <w:r w:rsidR="00756FA9">
              <w:rPr>
                <w:noProof/>
                <w:webHidden/>
              </w:rPr>
              <w:instrText xml:space="preserve"> PAGEREF _Toc65224564 \h </w:instrText>
            </w:r>
            <w:r w:rsidR="00756FA9">
              <w:rPr>
                <w:noProof/>
                <w:webHidden/>
              </w:rPr>
            </w:r>
            <w:r w:rsidR="00756FA9">
              <w:rPr>
                <w:noProof/>
                <w:webHidden/>
              </w:rPr>
              <w:fldChar w:fldCharType="separate"/>
            </w:r>
            <w:r w:rsidR="00756FA9">
              <w:rPr>
                <w:noProof/>
                <w:webHidden/>
              </w:rPr>
              <w:t>4</w:t>
            </w:r>
            <w:r w:rsidR="00756FA9">
              <w:rPr>
                <w:noProof/>
                <w:webHidden/>
              </w:rPr>
              <w:fldChar w:fldCharType="end"/>
            </w:r>
          </w:hyperlink>
        </w:p>
        <w:p w:rsidR="00756FA9" w:rsidRDefault="00807C82">
          <w:pPr>
            <w:pStyle w:val="TOC1"/>
            <w:tabs>
              <w:tab w:val="right" w:leader="dot" w:pos="10456"/>
            </w:tabs>
            <w:rPr>
              <w:noProof/>
            </w:rPr>
          </w:pPr>
          <w:hyperlink w:anchor="_Toc65224565" w:history="1">
            <w:r w:rsidR="00756FA9" w:rsidRPr="001C0B59">
              <w:rPr>
                <w:rStyle w:val="Hyperlink"/>
                <w:rFonts w:ascii="Times New Roman" w:eastAsia="Times New Roman" w:hAnsi="Times New Roman" w:cs="Times New Roman"/>
                <w:noProof/>
                <w:lang w:val="sq-AL" w:eastAsia="sq-AL"/>
              </w:rPr>
              <w:t>7. Konfidencialiteti</w:t>
            </w:r>
            <w:r w:rsidR="00756FA9">
              <w:rPr>
                <w:noProof/>
                <w:webHidden/>
              </w:rPr>
              <w:tab/>
            </w:r>
            <w:r w:rsidR="00756FA9">
              <w:rPr>
                <w:noProof/>
                <w:webHidden/>
              </w:rPr>
              <w:fldChar w:fldCharType="begin"/>
            </w:r>
            <w:r w:rsidR="00756FA9">
              <w:rPr>
                <w:noProof/>
                <w:webHidden/>
              </w:rPr>
              <w:instrText xml:space="preserve"> PAGEREF _Toc65224565 \h </w:instrText>
            </w:r>
            <w:r w:rsidR="00756FA9">
              <w:rPr>
                <w:noProof/>
                <w:webHidden/>
              </w:rPr>
            </w:r>
            <w:r w:rsidR="00756FA9">
              <w:rPr>
                <w:noProof/>
                <w:webHidden/>
              </w:rPr>
              <w:fldChar w:fldCharType="separate"/>
            </w:r>
            <w:r w:rsidR="00756FA9">
              <w:rPr>
                <w:noProof/>
                <w:webHidden/>
              </w:rPr>
              <w:t>5</w:t>
            </w:r>
            <w:r w:rsidR="00756FA9">
              <w:rPr>
                <w:noProof/>
                <w:webHidden/>
              </w:rPr>
              <w:fldChar w:fldCharType="end"/>
            </w:r>
          </w:hyperlink>
        </w:p>
        <w:p w:rsidR="00756FA9" w:rsidRDefault="00807C82">
          <w:pPr>
            <w:pStyle w:val="TOC1"/>
            <w:tabs>
              <w:tab w:val="right" w:leader="dot" w:pos="10456"/>
            </w:tabs>
            <w:rPr>
              <w:noProof/>
            </w:rPr>
          </w:pPr>
          <w:hyperlink w:anchor="_Toc65224566" w:history="1">
            <w:r w:rsidR="00756FA9" w:rsidRPr="001C0B59">
              <w:rPr>
                <w:rStyle w:val="Hyperlink"/>
                <w:rFonts w:ascii="Times New Roman" w:eastAsia="Times New Roman" w:hAnsi="Times New Roman" w:cs="Times New Roman"/>
                <w:noProof/>
                <w:lang w:val="sq-AL" w:eastAsia="sq-AL"/>
              </w:rPr>
              <w:t>8. Politika e botimit</w:t>
            </w:r>
            <w:r w:rsidR="00756FA9">
              <w:rPr>
                <w:noProof/>
                <w:webHidden/>
              </w:rPr>
              <w:tab/>
            </w:r>
            <w:r w:rsidR="00756FA9">
              <w:rPr>
                <w:noProof/>
                <w:webHidden/>
              </w:rPr>
              <w:fldChar w:fldCharType="begin"/>
            </w:r>
            <w:r w:rsidR="00756FA9">
              <w:rPr>
                <w:noProof/>
                <w:webHidden/>
              </w:rPr>
              <w:instrText xml:space="preserve"> PAGEREF _Toc65224566 \h </w:instrText>
            </w:r>
            <w:r w:rsidR="00756FA9">
              <w:rPr>
                <w:noProof/>
                <w:webHidden/>
              </w:rPr>
            </w:r>
            <w:r w:rsidR="00756FA9">
              <w:rPr>
                <w:noProof/>
                <w:webHidden/>
              </w:rPr>
              <w:fldChar w:fldCharType="separate"/>
            </w:r>
            <w:r w:rsidR="00756FA9">
              <w:rPr>
                <w:noProof/>
                <w:webHidden/>
              </w:rPr>
              <w:t>5</w:t>
            </w:r>
            <w:r w:rsidR="00756FA9">
              <w:rPr>
                <w:noProof/>
                <w:webHidden/>
              </w:rPr>
              <w:fldChar w:fldCharType="end"/>
            </w:r>
          </w:hyperlink>
        </w:p>
        <w:p w:rsidR="00756FA9" w:rsidRDefault="00807C82">
          <w:pPr>
            <w:pStyle w:val="TOC1"/>
            <w:tabs>
              <w:tab w:val="right" w:leader="dot" w:pos="10456"/>
            </w:tabs>
            <w:rPr>
              <w:noProof/>
            </w:rPr>
          </w:pPr>
          <w:hyperlink w:anchor="_Toc65224567" w:history="1">
            <w:r w:rsidR="00756FA9" w:rsidRPr="001C0B59">
              <w:rPr>
                <w:rStyle w:val="Hyperlink"/>
                <w:rFonts w:ascii="Times New Roman" w:eastAsia="Times New Roman" w:hAnsi="Times New Roman" w:cs="Times New Roman"/>
                <w:noProof/>
                <w:lang w:val="sq-AL" w:eastAsia="sq-AL"/>
              </w:rPr>
              <w:t>9. Shpeshtësia e shpërndarjes</w:t>
            </w:r>
            <w:r w:rsidR="00756FA9">
              <w:rPr>
                <w:noProof/>
                <w:webHidden/>
              </w:rPr>
              <w:tab/>
            </w:r>
            <w:r w:rsidR="00756FA9">
              <w:rPr>
                <w:noProof/>
                <w:webHidden/>
              </w:rPr>
              <w:fldChar w:fldCharType="begin"/>
            </w:r>
            <w:r w:rsidR="00756FA9">
              <w:rPr>
                <w:noProof/>
                <w:webHidden/>
              </w:rPr>
              <w:instrText xml:space="preserve"> PAGEREF _Toc65224567 \h </w:instrText>
            </w:r>
            <w:r w:rsidR="00756FA9">
              <w:rPr>
                <w:noProof/>
                <w:webHidden/>
              </w:rPr>
            </w:r>
            <w:r w:rsidR="00756FA9">
              <w:rPr>
                <w:noProof/>
                <w:webHidden/>
              </w:rPr>
              <w:fldChar w:fldCharType="separate"/>
            </w:r>
            <w:r w:rsidR="00756FA9">
              <w:rPr>
                <w:noProof/>
                <w:webHidden/>
              </w:rPr>
              <w:t>6</w:t>
            </w:r>
            <w:r w:rsidR="00756FA9">
              <w:rPr>
                <w:noProof/>
                <w:webHidden/>
              </w:rPr>
              <w:fldChar w:fldCharType="end"/>
            </w:r>
          </w:hyperlink>
        </w:p>
        <w:p w:rsidR="00756FA9" w:rsidRDefault="00807C82">
          <w:pPr>
            <w:pStyle w:val="TOC1"/>
            <w:tabs>
              <w:tab w:val="right" w:leader="dot" w:pos="10456"/>
            </w:tabs>
            <w:rPr>
              <w:noProof/>
            </w:rPr>
          </w:pPr>
          <w:hyperlink w:anchor="_Toc65224568" w:history="1">
            <w:r w:rsidR="00756FA9" w:rsidRPr="001C0B59">
              <w:rPr>
                <w:rStyle w:val="Hyperlink"/>
                <w:rFonts w:ascii="Times New Roman" w:eastAsia="Times New Roman" w:hAnsi="Times New Roman" w:cs="Times New Roman"/>
                <w:noProof/>
                <w:lang w:val="sq-AL" w:eastAsia="sq-AL"/>
              </w:rPr>
              <w:t>10. Aksesi në të dhëna dhe qartësia</w:t>
            </w:r>
            <w:r w:rsidR="00756FA9">
              <w:rPr>
                <w:noProof/>
                <w:webHidden/>
              </w:rPr>
              <w:tab/>
            </w:r>
            <w:r w:rsidR="00756FA9">
              <w:rPr>
                <w:noProof/>
                <w:webHidden/>
              </w:rPr>
              <w:fldChar w:fldCharType="begin"/>
            </w:r>
            <w:r w:rsidR="00756FA9">
              <w:rPr>
                <w:noProof/>
                <w:webHidden/>
              </w:rPr>
              <w:instrText xml:space="preserve"> PAGEREF _Toc65224568 \h </w:instrText>
            </w:r>
            <w:r w:rsidR="00756FA9">
              <w:rPr>
                <w:noProof/>
                <w:webHidden/>
              </w:rPr>
            </w:r>
            <w:r w:rsidR="00756FA9">
              <w:rPr>
                <w:noProof/>
                <w:webHidden/>
              </w:rPr>
              <w:fldChar w:fldCharType="separate"/>
            </w:r>
            <w:r w:rsidR="00756FA9">
              <w:rPr>
                <w:noProof/>
                <w:webHidden/>
              </w:rPr>
              <w:t>6</w:t>
            </w:r>
            <w:r w:rsidR="00756FA9">
              <w:rPr>
                <w:noProof/>
                <w:webHidden/>
              </w:rPr>
              <w:fldChar w:fldCharType="end"/>
            </w:r>
          </w:hyperlink>
        </w:p>
        <w:p w:rsidR="00756FA9" w:rsidRDefault="00807C82">
          <w:pPr>
            <w:pStyle w:val="TOC1"/>
            <w:tabs>
              <w:tab w:val="right" w:leader="dot" w:pos="10456"/>
            </w:tabs>
            <w:rPr>
              <w:noProof/>
            </w:rPr>
          </w:pPr>
          <w:hyperlink w:anchor="_Toc65224569" w:history="1">
            <w:r w:rsidR="00756FA9" w:rsidRPr="001C0B59">
              <w:rPr>
                <w:rStyle w:val="Hyperlink"/>
                <w:rFonts w:ascii="Times New Roman" w:eastAsia="Times New Roman" w:hAnsi="Times New Roman" w:cs="Times New Roman"/>
                <w:noProof/>
                <w:lang w:val="sq-AL" w:eastAsia="sq-AL"/>
              </w:rPr>
              <w:t>11. Manaxhimi i cilësisë</w:t>
            </w:r>
            <w:r w:rsidR="00756FA9">
              <w:rPr>
                <w:noProof/>
                <w:webHidden/>
              </w:rPr>
              <w:tab/>
            </w:r>
            <w:r w:rsidR="00756FA9">
              <w:rPr>
                <w:noProof/>
                <w:webHidden/>
              </w:rPr>
              <w:fldChar w:fldCharType="begin"/>
            </w:r>
            <w:r w:rsidR="00756FA9">
              <w:rPr>
                <w:noProof/>
                <w:webHidden/>
              </w:rPr>
              <w:instrText xml:space="preserve"> PAGEREF _Toc65224569 \h </w:instrText>
            </w:r>
            <w:r w:rsidR="00756FA9">
              <w:rPr>
                <w:noProof/>
                <w:webHidden/>
              </w:rPr>
            </w:r>
            <w:r w:rsidR="00756FA9">
              <w:rPr>
                <w:noProof/>
                <w:webHidden/>
              </w:rPr>
              <w:fldChar w:fldCharType="separate"/>
            </w:r>
            <w:r w:rsidR="00756FA9">
              <w:rPr>
                <w:noProof/>
                <w:webHidden/>
              </w:rPr>
              <w:t>7</w:t>
            </w:r>
            <w:r w:rsidR="00756FA9">
              <w:rPr>
                <w:noProof/>
                <w:webHidden/>
              </w:rPr>
              <w:fldChar w:fldCharType="end"/>
            </w:r>
          </w:hyperlink>
        </w:p>
        <w:p w:rsidR="00756FA9" w:rsidRDefault="00807C82">
          <w:pPr>
            <w:pStyle w:val="TOC1"/>
            <w:tabs>
              <w:tab w:val="right" w:leader="dot" w:pos="10456"/>
            </w:tabs>
            <w:rPr>
              <w:noProof/>
            </w:rPr>
          </w:pPr>
          <w:hyperlink w:anchor="_Toc65224570" w:history="1">
            <w:r w:rsidR="00756FA9" w:rsidRPr="001C0B59">
              <w:rPr>
                <w:rStyle w:val="Hyperlink"/>
                <w:rFonts w:ascii="Times New Roman" w:eastAsia="Times New Roman" w:hAnsi="Times New Roman" w:cs="Times New Roman"/>
                <w:noProof/>
                <w:lang w:val="sq-AL" w:eastAsia="sq-AL"/>
              </w:rPr>
              <w:t>12. Rëndësia</w:t>
            </w:r>
            <w:r w:rsidR="00756FA9">
              <w:rPr>
                <w:noProof/>
                <w:webHidden/>
              </w:rPr>
              <w:tab/>
            </w:r>
            <w:r w:rsidR="00756FA9">
              <w:rPr>
                <w:noProof/>
                <w:webHidden/>
              </w:rPr>
              <w:fldChar w:fldCharType="begin"/>
            </w:r>
            <w:r w:rsidR="00756FA9">
              <w:rPr>
                <w:noProof/>
                <w:webHidden/>
              </w:rPr>
              <w:instrText xml:space="preserve"> PAGEREF _Toc65224570 \h </w:instrText>
            </w:r>
            <w:r w:rsidR="00756FA9">
              <w:rPr>
                <w:noProof/>
                <w:webHidden/>
              </w:rPr>
            </w:r>
            <w:r w:rsidR="00756FA9">
              <w:rPr>
                <w:noProof/>
                <w:webHidden/>
              </w:rPr>
              <w:fldChar w:fldCharType="separate"/>
            </w:r>
            <w:r w:rsidR="00756FA9">
              <w:rPr>
                <w:noProof/>
                <w:webHidden/>
              </w:rPr>
              <w:t>7</w:t>
            </w:r>
            <w:r w:rsidR="00756FA9">
              <w:rPr>
                <w:noProof/>
                <w:webHidden/>
              </w:rPr>
              <w:fldChar w:fldCharType="end"/>
            </w:r>
          </w:hyperlink>
        </w:p>
        <w:p w:rsidR="00756FA9" w:rsidRDefault="00807C82">
          <w:pPr>
            <w:pStyle w:val="TOC1"/>
            <w:tabs>
              <w:tab w:val="right" w:leader="dot" w:pos="10456"/>
            </w:tabs>
            <w:rPr>
              <w:noProof/>
            </w:rPr>
          </w:pPr>
          <w:hyperlink w:anchor="_Toc65224571" w:history="1">
            <w:r w:rsidR="00756FA9" w:rsidRPr="001C0B59">
              <w:rPr>
                <w:rStyle w:val="Hyperlink"/>
                <w:rFonts w:ascii="Times New Roman" w:eastAsia="Times New Roman" w:hAnsi="Times New Roman" w:cs="Times New Roman"/>
                <w:noProof/>
                <w:lang w:val="sq-AL" w:eastAsia="sq-AL"/>
              </w:rPr>
              <w:t>13. Saktësia dhe besueshmëria</w:t>
            </w:r>
            <w:r w:rsidR="00756FA9">
              <w:rPr>
                <w:noProof/>
                <w:webHidden/>
              </w:rPr>
              <w:tab/>
            </w:r>
            <w:r w:rsidR="00756FA9">
              <w:rPr>
                <w:noProof/>
                <w:webHidden/>
              </w:rPr>
              <w:fldChar w:fldCharType="begin"/>
            </w:r>
            <w:r w:rsidR="00756FA9">
              <w:rPr>
                <w:noProof/>
                <w:webHidden/>
              </w:rPr>
              <w:instrText xml:space="preserve"> PAGEREF _Toc65224571 \h </w:instrText>
            </w:r>
            <w:r w:rsidR="00756FA9">
              <w:rPr>
                <w:noProof/>
                <w:webHidden/>
              </w:rPr>
            </w:r>
            <w:r w:rsidR="00756FA9">
              <w:rPr>
                <w:noProof/>
                <w:webHidden/>
              </w:rPr>
              <w:fldChar w:fldCharType="separate"/>
            </w:r>
            <w:r w:rsidR="00756FA9">
              <w:rPr>
                <w:noProof/>
                <w:webHidden/>
              </w:rPr>
              <w:t>8</w:t>
            </w:r>
            <w:r w:rsidR="00756FA9">
              <w:rPr>
                <w:noProof/>
                <w:webHidden/>
              </w:rPr>
              <w:fldChar w:fldCharType="end"/>
            </w:r>
          </w:hyperlink>
        </w:p>
        <w:p w:rsidR="00756FA9" w:rsidRDefault="00807C82">
          <w:pPr>
            <w:pStyle w:val="TOC1"/>
            <w:tabs>
              <w:tab w:val="right" w:leader="dot" w:pos="10456"/>
            </w:tabs>
            <w:rPr>
              <w:noProof/>
            </w:rPr>
          </w:pPr>
          <w:hyperlink w:anchor="_Toc65224572" w:history="1">
            <w:r w:rsidR="00756FA9" w:rsidRPr="001C0B59">
              <w:rPr>
                <w:rStyle w:val="Hyperlink"/>
                <w:rFonts w:ascii="Times New Roman" w:eastAsia="Times New Roman" w:hAnsi="Times New Roman" w:cs="Times New Roman"/>
                <w:noProof/>
                <w:lang w:val="sq-AL" w:eastAsia="sq-AL"/>
              </w:rPr>
              <w:t>14. Afatet kohore dhe përpikmëria</w:t>
            </w:r>
            <w:r w:rsidR="00756FA9">
              <w:rPr>
                <w:noProof/>
                <w:webHidden/>
              </w:rPr>
              <w:tab/>
            </w:r>
            <w:r w:rsidR="00756FA9">
              <w:rPr>
                <w:noProof/>
                <w:webHidden/>
              </w:rPr>
              <w:fldChar w:fldCharType="begin"/>
            </w:r>
            <w:r w:rsidR="00756FA9">
              <w:rPr>
                <w:noProof/>
                <w:webHidden/>
              </w:rPr>
              <w:instrText xml:space="preserve"> PAGEREF _Toc65224572 \h </w:instrText>
            </w:r>
            <w:r w:rsidR="00756FA9">
              <w:rPr>
                <w:noProof/>
                <w:webHidden/>
              </w:rPr>
            </w:r>
            <w:r w:rsidR="00756FA9">
              <w:rPr>
                <w:noProof/>
                <w:webHidden/>
              </w:rPr>
              <w:fldChar w:fldCharType="separate"/>
            </w:r>
            <w:r w:rsidR="00756FA9">
              <w:rPr>
                <w:noProof/>
                <w:webHidden/>
              </w:rPr>
              <w:t>8</w:t>
            </w:r>
            <w:r w:rsidR="00756FA9">
              <w:rPr>
                <w:noProof/>
                <w:webHidden/>
              </w:rPr>
              <w:fldChar w:fldCharType="end"/>
            </w:r>
          </w:hyperlink>
        </w:p>
        <w:p w:rsidR="00756FA9" w:rsidRDefault="00807C82">
          <w:pPr>
            <w:pStyle w:val="TOC1"/>
            <w:tabs>
              <w:tab w:val="right" w:leader="dot" w:pos="10456"/>
            </w:tabs>
            <w:rPr>
              <w:noProof/>
            </w:rPr>
          </w:pPr>
          <w:hyperlink w:anchor="_Toc65224573" w:history="1">
            <w:r w:rsidR="00756FA9" w:rsidRPr="001C0B59">
              <w:rPr>
                <w:rStyle w:val="Hyperlink"/>
                <w:rFonts w:ascii="Times New Roman" w:eastAsia="Times New Roman" w:hAnsi="Times New Roman" w:cs="Times New Roman"/>
                <w:noProof/>
                <w:lang w:val="sq-AL" w:eastAsia="sq-AL"/>
              </w:rPr>
              <w:t>15. Koherenca dhe Krahasueshmëria</w:t>
            </w:r>
            <w:r w:rsidR="00756FA9">
              <w:rPr>
                <w:noProof/>
                <w:webHidden/>
              </w:rPr>
              <w:tab/>
            </w:r>
            <w:r w:rsidR="00756FA9">
              <w:rPr>
                <w:noProof/>
                <w:webHidden/>
              </w:rPr>
              <w:fldChar w:fldCharType="begin"/>
            </w:r>
            <w:r w:rsidR="00756FA9">
              <w:rPr>
                <w:noProof/>
                <w:webHidden/>
              </w:rPr>
              <w:instrText xml:space="preserve"> PAGEREF _Toc65224573 \h </w:instrText>
            </w:r>
            <w:r w:rsidR="00756FA9">
              <w:rPr>
                <w:noProof/>
                <w:webHidden/>
              </w:rPr>
            </w:r>
            <w:r w:rsidR="00756FA9">
              <w:rPr>
                <w:noProof/>
                <w:webHidden/>
              </w:rPr>
              <w:fldChar w:fldCharType="separate"/>
            </w:r>
            <w:r w:rsidR="00756FA9">
              <w:rPr>
                <w:noProof/>
                <w:webHidden/>
              </w:rPr>
              <w:t>8</w:t>
            </w:r>
            <w:r w:rsidR="00756FA9">
              <w:rPr>
                <w:noProof/>
                <w:webHidden/>
              </w:rPr>
              <w:fldChar w:fldCharType="end"/>
            </w:r>
          </w:hyperlink>
        </w:p>
        <w:p w:rsidR="00756FA9" w:rsidRDefault="00807C82">
          <w:pPr>
            <w:pStyle w:val="TOC1"/>
            <w:tabs>
              <w:tab w:val="right" w:leader="dot" w:pos="10456"/>
            </w:tabs>
            <w:rPr>
              <w:noProof/>
            </w:rPr>
          </w:pPr>
          <w:hyperlink w:anchor="_Toc65224574" w:history="1">
            <w:r w:rsidR="00756FA9" w:rsidRPr="001C0B59">
              <w:rPr>
                <w:rStyle w:val="Hyperlink"/>
                <w:rFonts w:ascii="Times New Roman" w:eastAsia="Times New Roman" w:hAnsi="Times New Roman" w:cs="Times New Roman"/>
                <w:noProof/>
                <w:lang w:val="sq-AL" w:eastAsia="sq-AL"/>
              </w:rPr>
              <w:t>16. Kostoja dhe ngarkesa</w:t>
            </w:r>
            <w:r w:rsidR="00756FA9">
              <w:rPr>
                <w:noProof/>
                <w:webHidden/>
              </w:rPr>
              <w:tab/>
            </w:r>
            <w:r w:rsidR="00756FA9">
              <w:rPr>
                <w:noProof/>
                <w:webHidden/>
              </w:rPr>
              <w:fldChar w:fldCharType="begin"/>
            </w:r>
            <w:r w:rsidR="00756FA9">
              <w:rPr>
                <w:noProof/>
                <w:webHidden/>
              </w:rPr>
              <w:instrText xml:space="preserve"> PAGEREF _Toc65224574 \h </w:instrText>
            </w:r>
            <w:r w:rsidR="00756FA9">
              <w:rPr>
                <w:noProof/>
                <w:webHidden/>
              </w:rPr>
            </w:r>
            <w:r w:rsidR="00756FA9">
              <w:rPr>
                <w:noProof/>
                <w:webHidden/>
              </w:rPr>
              <w:fldChar w:fldCharType="separate"/>
            </w:r>
            <w:r w:rsidR="00756FA9">
              <w:rPr>
                <w:noProof/>
                <w:webHidden/>
              </w:rPr>
              <w:t>9</w:t>
            </w:r>
            <w:r w:rsidR="00756FA9">
              <w:rPr>
                <w:noProof/>
                <w:webHidden/>
              </w:rPr>
              <w:fldChar w:fldCharType="end"/>
            </w:r>
          </w:hyperlink>
        </w:p>
        <w:p w:rsidR="00756FA9" w:rsidRDefault="00807C82">
          <w:pPr>
            <w:pStyle w:val="TOC1"/>
            <w:tabs>
              <w:tab w:val="right" w:leader="dot" w:pos="10456"/>
            </w:tabs>
            <w:rPr>
              <w:noProof/>
            </w:rPr>
          </w:pPr>
          <w:hyperlink w:anchor="_Toc65224575" w:history="1">
            <w:r w:rsidR="00756FA9" w:rsidRPr="001C0B59">
              <w:rPr>
                <w:rStyle w:val="Hyperlink"/>
                <w:rFonts w:ascii="Times New Roman" w:eastAsia="Times New Roman" w:hAnsi="Times New Roman" w:cs="Times New Roman"/>
                <w:noProof/>
                <w:lang w:val="sq-AL" w:eastAsia="sq-AL"/>
              </w:rPr>
              <w:t>17. Rishikimi i të dhënave</w:t>
            </w:r>
            <w:r w:rsidR="00756FA9">
              <w:rPr>
                <w:noProof/>
                <w:webHidden/>
              </w:rPr>
              <w:tab/>
            </w:r>
            <w:r w:rsidR="00756FA9">
              <w:rPr>
                <w:noProof/>
                <w:webHidden/>
              </w:rPr>
              <w:fldChar w:fldCharType="begin"/>
            </w:r>
            <w:r w:rsidR="00756FA9">
              <w:rPr>
                <w:noProof/>
                <w:webHidden/>
              </w:rPr>
              <w:instrText xml:space="preserve"> PAGEREF _Toc65224575 \h </w:instrText>
            </w:r>
            <w:r w:rsidR="00756FA9">
              <w:rPr>
                <w:noProof/>
                <w:webHidden/>
              </w:rPr>
            </w:r>
            <w:r w:rsidR="00756FA9">
              <w:rPr>
                <w:noProof/>
                <w:webHidden/>
              </w:rPr>
              <w:fldChar w:fldCharType="separate"/>
            </w:r>
            <w:r w:rsidR="00756FA9">
              <w:rPr>
                <w:noProof/>
                <w:webHidden/>
              </w:rPr>
              <w:t>9</w:t>
            </w:r>
            <w:r w:rsidR="00756FA9">
              <w:rPr>
                <w:noProof/>
                <w:webHidden/>
              </w:rPr>
              <w:fldChar w:fldCharType="end"/>
            </w:r>
          </w:hyperlink>
        </w:p>
        <w:p w:rsidR="00756FA9" w:rsidRDefault="00807C82">
          <w:pPr>
            <w:pStyle w:val="TOC1"/>
            <w:tabs>
              <w:tab w:val="right" w:leader="dot" w:pos="10456"/>
            </w:tabs>
            <w:rPr>
              <w:noProof/>
            </w:rPr>
          </w:pPr>
          <w:hyperlink w:anchor="_Toc65224576" w:history="1">
            <w:r w:rsidR="00756FA9" w:rsidRPr="001C0B59">
              <w:rPr>
                <w:rStyle w:val="Hyperlink"/>
                <w:rFonts w:ascii="Times New Roman" w:eastAsia="Times New Roman" w:hAnsi="Times New Roman" w:cs="Times New Roman"/>
                <w:noProof/>
                <w:lang w:val="sq-AL" w:eastAsia="sq-AL"/>
              </w:rPr>
              <w:t>18. Përpunimi statistikor</w:t>
            </w:r>
            <w:r w:rsidR="00756FA9">
              <w:rPr>
                <w:noProof/>
                <w:webHidden/>
              </w:rPr>
              <w:tab/>
            </w:r>
            <w:r w:rsidR="00756FA9">
              <w:rPr>
                <w:noProof/>
                <w:webHidden/>
              </w:rPr>
              <w:fldChar w:fldCharType="begin"/>
            </w:r>
            <w:r w:rsidR="00756FA9">
              <w:rPr>
                <w:noProof/>
                <w:webHidden/>
              </w:rPr>
              <w:instrText xml:space="preserve"> PAGEREF _Toc65224576 \h </w:instrText>
            </w:r>
            <w:r w:rsidR="00756FA9">
              <w:rPr>
                <w:noProof/>
                <w:webHidden/>
              </w:rPr>
            </w:r>
            <w:r w:rsidR="00756FA9">
              <w:rPr>
                <w:noProof/>
                <w:webHidden/>
              </w:rPr>
              <w:fldChar w:fldCharType="separate"/>
            </w:r>
            <w:r w:rsidR="00756FA9">
              <w:rPr>
                <w:noProof/>
                <w:webHidden/>
              </w:rPr>
              <w:t>9</w:t>
            </w:r>
            <w:r w:rsidR="00756FA9">
              <w:rPr>
                <w:noProof/>
                <w:webHidden/>
              </w:rPr>
              <w:fldChar w:fldCharType="end"/>
            </w:r>
          </w:hyperlink>
        </w:p>
        <w:p w:rsidR="00756FA9" w:rsidRDefault="00807C82">
          <w:pPr>
            <w:pStyle w:val="TOC1"/>
            <w:tabs>
              <w:tab w:val="right" w:leader="dot" w:pos="10456"/>
            </w:tabs>
            <w:rPr>
              <w:noProof/>
            </w:rPr>
          </w:pPr>
          <w:hyperlink w:anchor="_Toc65224577" w:history="1">
            <w:r w:rsidR="00756FA9" w:rsidRPr="001C0B59">
              <w:rPr>
                <w:rStyle w:val="Hyperlink"/>
                <w:rFonts w:ascii="Times New Roman" w:eastAsia="Times New Roman" w:hAnsi="Times New Roman" w:cs="Times New Roman"/>
                <w:noProof/>
                <w:lang w:val="sq-AL" w:eastAsia="sq-AL"/>
              </w:rPr>
              <w:t>19. Komente</w:t>
            </w:r>
            <w:r w:rsidR="00756FA9">
              <w:rPr>
                <w:noProof/>
                <w:webHidden/>
              </w:rPr>
              <w:tab/>
            </w:r>
            <w:r w:rsidR="00756FA9">
              <w:rPr>
                <w:noProof/>
                <w:webHidden/>
              </w:rPr>
              <w:fldChar w:fldCharType="begin"/>
            </w:r>
            <w:r w:rsidR="00756FA9">
              <w:rPr>
                <w:noProof/>
                <w:webHidden/>
              </w:rPr>
              <w:instrText xml:space="preserve"> PAGEREF _Toc65224577 \h </w:instrText>
            </w:r>
            <w:r w:rsidR="00756FA9">
              <w:rPr>
                <w:noProof/>
                <w:webHidden/>
              </w:rPr>
            </w:r>
            <w:r w:rsidR="00756FA9">
              <w:rPr>
                <w:noProof/>
                <w:webHidden/>
              </w:rPr>
              <w:fldChar w:fldCharType="separate"/>
            </w:r>
            <w:r w:rsidR="00756FA9">
              <w:rPr>
                <w:noProof/>
                <w:webHidden/>
              </w:rPr>
              <w:t>10</w:t>
            </w:r>
            <w:r w:rsidR="00756FA9">
              <w:rPr>
                <w:noProof/>
                <w:webHidden/>
              </w:rPr>
              <w:fldChar w:fldCharType="end"/>
            </w:r>
          </w:hyperlink>
        </w:p>
        <w:p w:rsidR="00756FA9" w:rsidRDefault="00807C82">
          <w:pPr>
            <w:pStyle w:val="TOC1"/>
            <w:tabs>
              <w:tab w:val="right" w:leader="dot" w:pos="10456"/>
            </w:tabs>
            <w:rPr>
              <w:noProof/>
            </w:rPr>
          </w:pPr>
          <w:hyperlink w:anchor="_Toc65224578" w:history="1">
            <w:r w:rsidR="00756FA9" w:rsidRPr="001C0B59">
              <w:rPr>
                <w:rStyle w:val="Hyperlink"/>
                <w:rFonts w:ascii="Times New Roman" w:eastAsia="Times New Roman" w:hAnsi="Times New Roman" w:cs="Times New Roman"/>
                <w:noProof/>
                <w:lang w:val="sq-AL" w:eastAsia="sq-AL"/>
              </w:rPr>
              <w:t>Aneks</w:t>
            </w:r>
            <w:r w:rsidR="00756FA9">
              <w:rPr>
                <w:noProof/>
                <w:webHidden/>
              </w:rPr>
              <w:tab/>
            </w:r>
            <w:r w:rsidR="00756FA9">
              <w:rPr>
                <w:noProof/>
                <w:webHidden/>
              </w:rPr>
              <w:fldChar w:fldCharType="begin"/>
            </w:r>
            <w:r w:rsidR="00756FA9">
              <w:rPr>
                <w:noProof/>
                <w:webHidden/>
              </w:rPr>
              <w:instrText xml:space="preserve"> PAGEREF _Toc65224578 \h </w:instrText>
            </w:r>
            <w:r w:rsidR="00756FA9">
              <w:rPr>
                <w:noProof/>
                <w:webHidden/>
              </w:rPr>
            </w:r>
            <w:r w:rsidR="00756FA9">
              <w:rPr>
                <w:noProof/>
                <w:webHidden/>
              </w:rPr>
              <w:fldChar w:fldCharType="separate"/>
            </w:r>
            <w:r w:rsidR="00756FA9">
              <w:rPr>
                <w:noProof/>
                <w:webHidden/>
              </w:rPr>
              <w:t>10</w:t>
            </w:r>
            <w:r w:rsidR="00756FA9">
              <w:rPr>
                <w:noProof/>
                <w:webHidden/>
              </w:rPr>
              <w:fldChar w:fldCharType="end"/>
            </w:r>
          </w:hyperlink>
        </w:p>
        <w:p w:rsidR="008B25B4" w:rsidRDefault="008B25B4" w:rsidP="008B25B4">
          <w:pPr>
            <w:rPr>
              <w:rFonts w:ascii="Times New Roman" w:hAnsi="Times New Roman" w:cs="Times New Roman"/>
              <w:sz w:val="24"/>
              <w:szCs w:val="24"/>
            </w:rPr>
          </w:pPr>
          <w:r w:rsidRPr="00761472">
            <w:rPr>
              <w:rFonts w:ascii="Times New Roman" w:hAnsi="Times New Roman" w:cs="Times New Roman"/>
              <w:sz w:val="24"/>
              <w:szCs w:val="24"/>
            </w:rPr>
            <w:fldChar w:fldCharType="end"/>
          </w:r>
        </w:p>
      </w:sdtContent>
    </w:sdt>
    <w:p w:rsidR="008B25B4" w:rsidRDefault="008B25B4" w:rsidP="008B25B4"/>
    <w:p w:rsidR="008B25B4" w:rsidRDefault="008B25B4" w:rsidP="008B25B4"/>
    <w:p w:rsidR="008B25B4" w:rsidRPr="008B25B4" w:rsidRDefault="008B25B4" w:rsidP="008B25B4"/>
    <w:p w:rsidR="009D3980" w:rsidRDefault="009D3980" w:rsidP="009D3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64"/>
      </w:tblGrid>
      <w:tr w:rsidR="00247A56" w:rsidRPr="00430D9B" w:rsidTr="00A112B8">
        <w:trPr>
          <w:trHeight w:val="567"/>
        </w:trPr>
        <w:tc>
          <w:tcPr>
            <w:tcW w:w="10682"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noProof/>
                <w:color w:val="000000" w:themeColor="text1"/>
                <w:sz w:val="24"/>
                <w:szCs w:val="24"/>
                <w:lang w:val="sq-AL" w:eastAsia="sq-AL"/>
              </w:rPr>
            </w:pPr>
            <w:bookmarkStart w:id="0" w:name="_Toc474418806"/>
            <w:bookmarkStart w:id="1" w:name="_Toc65224559"/>
            <w:r w:rsidRPr="00430D9B">
              <w:rPr>
                <w:rFonts w:ascii="Times New Roman" w:eastAsia="Times New Roman" w:hAnsi="Times New Roman" w:cs="Times New Roman"/>
                <w:noProof/>
                <w:color w:val="000000" w:themeColor="text1"/>
                <w:sz w:val="24"/>
                <w:szCs w:val="24"/>
                <w:lang w:val="sq-AL" w:eastAsia="sq-AL"/>
              </w:rPr>
              <w:t>1.</w:t>
            </w:r>
            <w:r w:rsidR="00223F89" w:rsidRPr="00430D9B">
              <w:rPr>
                <w:rFonts w:ascii="Times New Roman" w:eastAsia="Times New Roman" w:hAnsi="Times New Roman" w:cs="Times New Roman"/>
                <w:noProof/>
                <w:color w:val="000000" w:themeColor="text1"/>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Kontakt</w:t>
            </w:r>
            <w:bookmarkEnd w:id="0"/>
            <w:bookmarkEnd w:id="1"/>
          </w:p>
        </w:tc>
      </w:tr>
      <w:tr w:rsidR="00B15F7B" w:rsidRPr="00430D9B"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 Institucioni i kontaktit</w:t>
            </w:r>
          </w:p>
        </w:tc>
        <w:tc>
          <w:tcPr>
            <w:tcW w:w="8164" w:type="dxa"/>
            <w:shd w:val="clear" w:color="auto" w:fill="auto"/>
            <w:noWrap/>
            <w:vAlign w:val="center"/>
            <w:hideMark/>
          </w:tcPr>
          <w:p w:rsidR="00247A56" w:rsidRPr="00AF0A24" w:rsidRDefault="00E5417B" w:rsidP="009F56BE">
            <w:pPr>
              <w:spacing w:before="240" w:after="240" w:line="240" w:lineRule="auto"/>
              <w:ind w:left="101" w:right="86"/>
              <w:jc w:val="both"/>
              <w:rPr>
                <w:rFonts w:ascii="Times New Roman" w:hAnsi="Times New Roman" w:cs="Times New Roman"/>
                <w:noProof/>
                <w:color w:val="000000"/>
                <w:sz w:val="24"/>
                <w:szCs w:val="24"/>
                <w:lang w:val="sq-AL"/>
              </w:rPr>
            </w:pPr>
            <w:r w:rsidRPr="00AF0A24">
              <w:rPr>
                <w:rFonts w:ascii="Times New Roman" w:hAnsi="Times New Roman" w:cs="Times New Roman"/>
                <w:sz w:val="24"/>
                <w:szCs w:val="24"/>
              </w:rPr>
              <w:t>Instituti i Statistikave, INSTAT</w:t>
            </w:r>
          </w:p>
        </w:tc>
      </w:tr>
      <w:tr w:rsidR="00B15F7B" w:rsidRPr="0093731F"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 Njësia e kontaktit</w:t>
            </w:r>
          </w:p>
        </w:tc>
        <w:tc>
          <w:tcPr>
            <w:tcW w:w="8164" w:type="dxa"/>
            <w:shd w:val="clear" w:color="auto" w:fill="auto"/>
            <w:noWrap/>
            <w:vAlign w:val="center"/>
            <w:hideMark/>
          </w:tcPr>
          <w:p w:rsidR="00247A56" w:rsidRPr="00AF0A24" w:rsidRDefault="005C26EF" w:rsidP="009F56BE">
            <w:pPr>
              <w:spacing w:before="240" w:after="240" w:line="240" w:lineRule="auto"/>
              <w:ind w:left="101" w:right="86"/>
              <w:jc w:val="both"/>
              <w:rPr>
                <w:rFonts w:ascii="Times New Roman" w:hAnsi="Times New Roman" w:cs="Times New Roman"/>
                <w:noProof/>
                <w:color w:val="000000"/>
                <w:sz w:val="24"/>
                <w:szCs w:val="24"/>
                <w:lang w:val="sq-AL"/>
              </w:rPr>
            </w:pPr>
            <w:r w:rsidRPr="0093731F">
              <w:rPr>
                <w:rFonts w:ascii="Times New Roman" w:hAnsi="Times New Roman" w:cs="Times New Roman"/>
                <w:sz w:val="24"/>
                <w:szCs w:val="24"/>
                <w:lang w:val="de-DE"/>
              </w:rPr>
              <w:t>Drejtoria e Statistikave Ekonomike, Sektori i Statistikave Strukturore</w:t>
            </w:r>
          </w:p>
        </w:tc>
      </w:tr>
      <w:tr w:rsidR="00B15F7B" w:rsidRPr="00430D9B"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 Personi i kontaktit</w:t>
            </w:r>
          </w:p>
        </w:tc>
        <w:tc>
          <w:tcPr>
            <w:tcW w:w="8164" w:type="dxa"/>
            <w:shd w:val="clear" w:color="auto" w:fill="auto"/>
            <w:noWrap/>
            <w:vAlign w:val="center"/>
            <w:hideMark/>
          </w:tcPr>
          <w:p w:rsidR="00247A56" w:rsidRPr="00AF0A24" w:rsidRDefault="005C26EF" w:rsidP="009F56BE">
            <w:pPr>
              <w:spacing w:before="240" w:after="240" w:line="240" w:lineRule="auto"/>
              <w:ind w:left="101" w:right="86"/>
              <w:jc w:val="both"/>
              <w:rPr>
                <w:rFonts w:ascii="Times New Roman" w:hAnsi="Times New Roman" w:cs="Times New Roman"/>
                <w:noProof/>
                <w:color w:val="000000"/>
                <w:sz w:val="24"/>
                <w:szCs w:val="24"/>
                <w:lang w:val="sq-AL"/>
              </w:rPr>
            </w:pPr>
            <w:r w:rsidRPr="00AF0A24">
              <w:rPr>
                <w:rFonts w:ascii="Times New Roman" w:hAnsi="Times New Roman" w:cs="Times New Roman"/>
                <w:sz w:val="24"/>
                <w:szCs w:val="24"/>
              </w:rPr>
              <w:t>Elma Çali</w:t>
            </w:r>
          </w:p>
        </w:tc>
      </w:tr>
      <w:tr w:rsidR="00B15F7B" w:rsidRPr="0093731F"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1.4. Funksioni i personit të kontaktit</w:t>
            </w:r>
          </w:p>
        </w:tc>
        <w:tc>
          <w:tcPr>
            <w:tcW w:w="8164" w:type="dxa"/>
            <w:shd w:val="clear" w:color="auto" w:fill="auto"/>
            <w:noWrap/>
            <w:vAlign w:val="center"/>
            <w:hideMark/>
          </w:tcPr>
          <w:p w:rsidR="00247A56" w:rsidRPr="00AF0A24" w:rsidRDefault="005C26EF" w:rsidP="009F56BE">
            <w:pPr>
              <w:spacing w:before="240" w:after="240" w:line="240" w:lineRule="auto"/>
              <w:ind w:left="101" w:right="86"/>
              <w:jc w:val="both"/>
              <w:rPr>
                <w:rFonts w:ascii="Times New Roman" w:hAnsi="Times New Roman" w:cs="Times New Roman"/>
                <w:noProof/>
                <w:color w:val="000000"/>
                <w:sz w:val="24"/>
                <w:szCs w:val="24"/>
                <w:lang w:val="sq-AL"/>
              </w:rPr>
            </w:pPr>
            <w:r w:rsidRPr="0093731F">
              <w:rPr>
                <w:rFonts w:ascii="Times New Roman" w:hAnsi="Times New Roman" w:cs="Times New Roman"/>
                <w:sz w:val="24"/>
                <w:szCs w:val="24"/>
                <w:lang w:val="de-DE"/>
              </w:rPr>
              <w:t>Specialist në Sektorin e Statistikave Strukturore</w:t>
            </w:r>
          </w:p>
        </w:tc>
      </w:tr>
      <w:tr w:rsidR="00B15F7B" w:rsidRPr="0093731F"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 Adresa postare</w:t>
            </w:r>
          </w:p>
        </w:tc>
        <w:tc>
          <w:tcPr>
            <w:tcW w:w="8164" w:type="dxa"/>
            <w:shd w:val="clear" w:color="auto" w:fill="auto"/>
            <w:noWrap/>
            <w:vAlign w:val="center"/>
            <w:hideMark/>
          </w:tcPr>
          <w:p w:rsidR="00247A56" w:rsidRPr="00AF0A24" w:rsidRDefault="005C26EF" w:rsidP="009F56BE">
            <w:pPr>
              <w:spacing w:before="240" w:after="240" w:line="240" w:lineRule="auto"/>
              <w:ind w:left="101" w:right="86"/>
              <w:jc w:val="both"/>
              <w:rPr>
                <w:rFonts w:ascii="Times New Roman" w:hAnsi="Times New Roman" w:cs="Times New Roman"/>
                <w:noProof/>
                <w:color w:val="000000"/>
                <w:sz w:val="24"/>
                <w:szCs w:val="24"/>
                <w:lang w:val="sq-AL"/>
              </w:rPr>
            </w:pPr>
            <w:r w:rsidRPr="0093731F">
              <w:rPr>
                <w:rFonts w:ascii="Times New Roman" w:hAnsi="Times New Roman" w:cs="Times New Roman"/>
                <w:sz w:val="24"/>
                <w:szCs w:val="24"/>
                <w:lang w:val="sq-AL"/>
              </w:rPr>
              <w:t>Rr. Vllazën Huta, Ndërtesa 35, Hyrja 1, Tiranë, Shqipëri</w:t>
            </w:r>
          </w:p>
        </w:tc>
      </w:tr>
      <w:tr w:rsidR="00B15F7B" w:rsidRPr="00430D9B"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1.6. Adresa elektronike (e-mail)</w:t>
            </w:r>
          </w:p>
        </w:tc>
        <w:tc>
          <w:tcPr>
            <w:tcW w:w="8164" w:type="dxa"/>
            <w:shd w:val="clear" w:color="auto" w:fill="auto"/>
            <w:noWrap/>
            <w:vAlign w:val="center"/>
            <w:hideMark/>
          </w:tcPr>
          <w:p w:rsidR="0093731F" w:rsidRPr="0093731F" w:rsidRDefault="00807C82" w:rsidP="0093731F">
            <w:pPr>
              <w:spacing w:before="240" w:after="240" w:line="240" w:lineRule="auto"/>
              <w:ind w:left="101" w:right="86"/>
              <w:jc w:val="both"/>
              <w:rPr>
                <w:rFonts w:ascii="Times New Roman" w:hAnsi="Times New Roman" w:cs="Times New Roman"/>
                <w:color w:val="0000FF"/>
                <w:sz w:val="24"/>
                <w:szCs w:val="24"/>
              </w:rPr>
            </w:pPr>
            <w:hyperlink r:id="rId9" w:history="1">
              <w:r w:rsidR="0093731F" w:rsidRPr="00C23F04">
                <w:rPr>
                  <w:rStyle w:val="Hyperlink"/>
                  <w:rFonts w:ascii="Times New Roman" w:hAnsi="Times New Roman" w:cs="Times New Roman"/>
                  <w:sz w:val="24"/>
                  <w:szCs w:val="24"/>
                </w:rPr>
                <w:t>ecali@instat.gov.al</w:t>
              </w:r>
            </w:hyperlink>
          </w:p>
        </w:tc>
      </w:tr>
      <w:tr w:rsidR="00B15F7B" w:rsidRPr="00430D9B"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 Numri i telefonit</w:t>
            </w:r>
          </w:p>
        </w:tc>
        <w:tc>
          <w:tcPr>
            <w:tcW w:w="8164" w:type="dxa"/>
            <w:shd w:val="clear" w:color="auto" w:fill="auto"/>
            <w:noWrap/>
            <w:vAlign w:val="center"/>
            <w:hideMark/>
          </w:tcPr>
          <w:p w:rsidR="00247A56" w:rsidRPr="00AF0A24" w:rsidRDefault="00CF0E5F" w:rsidP="009F56BE">
            <w:pPr>
              <w:spacing w:before="240" w:after="240" w:line="240" w:lineRule="auto"/>
              <w:ind w:left="101" w:right="86"/>
              <w:jc w:val="both"/>
              <w:rPr>
                <w:rFonts w:ascii="Times New Roman" w:hAnsi="Times New Roman" w:cs="Times New Roman"/>
                <w:noProof/>
                <w:color w:val="000000" w:themeColor="text1"/>
                <w:sz w:val="24"/>
                <w:szCs w:val="24"/>
                <w:lang w:val="sq-AL"/>
              </w:rPr>
            </w:pPr>
            <w:r w:rsidRPr="00CF0E5F">
              <w:rPr>
                <w:rFonts w:ascii="Times New Roman" w:hAnsi="Times New Roman" w:cs="Times New Roman"/>
                <w:noProof/>
                <w:color w:val="000000"/>
                <w:sz w:val="24"/>
                <w:szCs w:val="24"/>
                <w:lang w:val="sq-AL"/>
              </w:rPr>
              <w:t>+ 355 (4)2 2233358/249</w:t>
            </w:r>
          </w:p>
        </w:tc>
      </w:tr>
      <w:tr w:rsidR="00B15F7B" w:rsidRPr="00430D9B" w:rsidTr="00A112B8">
        <w:trPr>
          <w:trHeight w:val="567"/>
        </w:trPr>
        <w:tc>
          <w:tcPr>
            <w:tcW w:w="2518" w:type="dxa"/>
            <w:shd w:val="clear" w:color="auto" w:fill="FFFFCC"/>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 Numri i faksit</w:t>
            </w:r>
          </w:p>
        </w:tc>
        <w:tc>
          <w:tcPr>
            <w:tcW w:w="8164" w:type="dxa"/>
            <w:shd w:val="clear" w:color="auto" w:fill="auto"/>
            <w:noWrap/>
            <w:vAlign w:val="center"/>
            <w:hideMark/>
          </w:tcPr>
          <w:p w:rsidR="00247A56" w:rsidRPr="00AF0A24" w:rsidRDefault="00E5417B" w:rsidP="009F56BE">
            <w:pPr>
              <w:spacing w:before="240" w:after="240" w:line="240" w:lineRule="auto"/>
              <w:ind w:left="101" w:right="86"/>
              <w:jc w:val="both"/>
              <w:rPr>
                <w:rFonts w:ascii="Times New Roman" w:hAnsi="Times New Roman" w:cs="Times New Roman"/>
                <w:noProof/>
                <w:color w:val="000000"/>
                <w:sz w:val="24"/>
                <w:szCs w:val="24"/>
                <w:lang w:val="sq-AL"/>
              </w:rPr>
            </w:pPr>
            <w:r w:rsidRPr="00AF0A24">
              <w:rPr>
                <w:rFonts w:ascii="Times New Roman" w:hAnsi="Times New Roman" w:cs="Times New Roman"/>
                <w:noProof/>
                <w:color w:val="000000"/>
                <w:sz w:val="24"/>
                <w:szCs w:val="24"/>
                <w:lang w:val="sq-AL"/>
              </w:rPr>
              <w:t>+(355) 4 2228300</w:t>
            </w:r>
          </w:p>
        </w:tc>
      </w:tr>
      <w:tr w:rsidR="00247A56" w:rsidRPr="00430D9B" w:rsidTr="00A112B8">
        <w:trPr>
          <w:trHeight w:val="567"/>
        </w:trPr>
        <w:tc>
          <w:tcPr>
            <w:tcW w:w="10682" w:type="dxa"/>
            <w:gridSpan w:val="2"/>
            <w:shd w:val="clear" w:color="auto" w:fill="FBD4B4" w:themeFill="accent6" w:themeFillTint="66"/>
            <w:noWrap/>
            <w:vAlign w:val="center"/>
            <w:hideMark/>
          </w:tcPr>
          <w:p w:rsidR="00247A56" w:rsidRPr="00095639" w:rsidRDefault="00247A56" w:rsidP="00430D9B">
            <w:pPr>
              <w:pStyle w:val="Heading1"/>
              <w:spacing w:before="0"/>
              <w:rPr>
                <w:rFonts w:ascii="Times New Roman" w:eastAsia="Times New Roman" w:hAnsi="Times New Roman" w:cs="Times New Roman"/>
                <w:bCs w:val="0"/>
                <w:noProof/>
                <w:color w:val="000000"/>
                <w:sz w:val="24"/>
                <w:szCs w:val="24"/>
                <w:lang w:val="sq-AL" w:eastAsia="sq-AL"/>
              </w:rPr>
            </w:pPr>
            <w:bookmarkStart w:id="2" w:name="_Toc474418807"/>
            <w:bookmarkStart w:id="3" w:name="_Toc65224560"/>
            <w:r w:rsidRPr="00095639">
              <w:rPr>
                <w:rFonts w:ascii="Times New Roman" w:eastAsia="Times New Roman" w:hAnsi="Times New Roman" w:cs="Times New Roman"/>
                <w:noProof/>
                <w:color w:val="000000" w:themeColor="text1"/>
                <w:sz w:val="24"/>
                <w:szCs w:val="24"/>
                <w:lang w:val="sq-AL" w:eastAsia="sq-AL"/>
              </w:rPr>
              <w:t>2. Përditësimi i metadatave</w:t>
            </w:r>
            <w:bookmarkEnd w:id="2"/>
            <w:bookmarkEnd w:id="3"/>
          </w:p>
        </w:tc>
      </w:tr>
      <w:tr w:rsidR="00B15F7B" w:rsidRPr="00430D9B" w:rsidTr="00A112B8">
        <w:trPr>
          <w:trHeight w:val="567"/>
        </w:trPr>
        <w:tc>
          <w:tcPr>
            <w:tcW w:w="2518" w:type="dxa"/>
            <w:shd w:val="clear" w:color="auto" w:fill="FFFFCC"/>
            <w:noWrap/>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2.1. Çertifikimi i fundit i metadatës</w:t>
            </w:r>
          </w:p>
        </w:tc>
        <w:tc>
          <w:tcPr>
            <w:tcW w:w="8164" w:type="dxa"/>
            <w:shd w:val="clear" w:color="auto" w:fill="auto"/>
            <w:noWrap/>
            <w:vAlign w:val="center"/>
            <w:hideMark/>
          </w:tcPr>
          <w:p w:rsidR="00247A56" w:rsidRPr="005F7E55" w:rsidRDefault="00963DDA" w:rsidP="000745E8">
            <w:pPr>
              <w:spacing w:before="240" w:after="240" w:line="240" w:lineRule="auto"/>
              <w:ind w:left="101" w:right="86"/>
              <w:jc w:val="both"/>
              <w:rPr>
                <w:rFonts w:ascii="Times New Roman" w:hAnsi="Times New Roman" w:cs="Times New Roman"/>
                <w:noProof/>
                <w:color w:val="000000"/>
                <w:sz w:val="24"/>
                <w:szCs w:val="24"/>
                <w:lang w:val="sq-AL"/>
              </w:rPr>
            </w:pPr>
            <w:r w:rsidRPr="005F7E55">
              <w:rPr>
                <w:rFonts w:ascii="Times New Roman" w:hAnsi="Times New Roman" w:cs="Times New Roman"/>
                <w:noProof/>
                <w:color w:val="000000"/>
                <w:sz w:val="24"/>
                <w:szCs w:val="24"/>
                <w:lang w:val="sq-AL"/>
              </w:rPr>
              <w:t>03.03.2021</w:t>
            </w:r>
          </w:p>
        </w:tc>
      </w:tr>
      <w:tr w:rsidR="00B15F7B" w:rsidRPr="00430D9B" w:rsidTr="00A112B8">
        <w:trPr>
          <w:trHeight w:val="567"/>
        </w:trPr>
        <w:tc>
          <w:tcPr>
            <w:tcW w:w="2518" w:type="dxa"/>
            <w:shd w:val="clear" w:color="auto" w:fill="FFFFCC"/>
            <w:noWrap/>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2.2. Publikimi i fundit i metadatës</w:t>
            </w:r>
          </w:p>
        </w:tc>
        <w:tc>
          <w:tcPr>
            <w:tcW w:w="8164" w:type="dxa"/>
            <w:shd w:val="clear" w:color="auto" w:fill="auto"/>
            <w:noWrap/>
            <w:vAlign w:val="center"/>
            <w:hideMark/>
          </w:tcPr>
          <w:p w:rsidR="00247A56" w:rsidRPr="005F7E55" w:rsidRDefault="00963DDA" w:rsidP="009F56BE">
            <w:pPr>
              <w:spacing w:before="240" w:after="240" w:line="240" w:lineRule="auto"/>
              <w:ind w:left="101" w:right="86"/>
              <w:jc w:val="both"/>
              <w:rPr>
                <w:rFonts w:ascii="Times New Roman" w:hAnsi="Times New Roman" w:cs="Times New Roman"/>
                <w:noProof/>
                <w:color w:val="000000"/>
                <w:sz w:val="24"/>
                <w:szCs w:val="24"/>
                <w:lang w:val="sq-AL"/>
              </w:rPr>
            </w:pPr>
            <w:r w:rsidRPr="005F7E55">
              <w:rPr>
                <w:rFonts w:ascii="Times New Roman" w:hAnsi="Times New Roman" w:cs="Times New Roman"/>
                <w:sz w:val="24"/>
              </w:rPr>
              <w:t>05.03.2020</w:t>
            </w:r>
          </w:p>
        </w:tc>
      </w:tr>
      <w:tr w:rsidR="00B15F7B" w:rsidRPr="00430D9B" w:rsidTr="00A112B8">
        <w:trPr>
          <w:trHeight w:val="567"/>
        </w:trPr>
        <w:tc>
          <w:tcPr>
            <w:tcW w:w="2518" w:type="dxa"/>
            <w:shd w:val="clear" w:color="auto" w:fill="FFFFCC"/>
            <w:noWrap/>
            <w:vAlign w:val="center"/>
            <w:hideMark/>
          </w:tcPr>
          <w:p w:rsidR="00247A56" w:rsidRPr="00430D9B" w:rsidRDefault="00247A56"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2.3. Përditësimi i fundit i metadatës</w:t>
            </w:r>
          </w:p>
        </w:tc>
        <w:tc>
          <w:tcPr>
            <w:tcW w:w="8164" w:type="dxa"/>
            <w:shd w:val="clear" w:color="auto" w:fill="auto"/>
            <w:noWrap/>
            <w:vAlign w:val="center"/>
            <w:hideMark/>
          </w:tcPr>
          <w:p w:rsidR="00247A56" w:rsidRPr="005F7E55" w:rsidRDefault="00963DDA" w:rsidP="009F56BE">
            <w:pPr>
              <w:spacing w:before="240" w:after="240" w:line="240" w:lineRule="auto"/>
              <w:ind w:left="101" w:right="86"/>
              <w:jc w:val="both"/>
              <w:rPr>
                <w:rFonts w:ascii="Times New Roman" w:hAnsi="Times New Roman" w:cs="Times New Roman"/>
                <w:noProof/>
                <w:color w:val="000000"/>
                <w:sz w:val="24"/>
                <w:szCs w:val="24"/>
                <w:lang w:val="sq-AL"/>
              </w:rPr>
            </w:pPr>
            <w:r w:rsidRPr="005F7E55">
              <w:rPr>
                <w:rFonts w:ascii="Times New Roman" w:hAnsi="Times New Roman" w:cs="Times New Roman"/>
                <w:noProof/>
                <w:color w:val="000000"/>
                <w:sz w:val="24"/>
                <w:szCs w:val="24"/>
                <w:lang w:val="sq-AL"/>
              </w:rPr>
              <w:t>03.03.2021</w:t>
            </w:r>
          </w:p>
        </w:tc>
      </w:tr>
      <w:tr w:rsidR="00247A56" w:rsidRPr="00430D9B" w:rsidTr="004B138C">
        <w:trPr>
          <w:trHeight w:val="701"/>
        </w:trPr>
        <w:tc>
          <w:tcPr>
            <w:tcW w:w="10682" w:type="dxa"/>
            <w:gridSpan w:val="2"/>
            <w:shd w:val="clear" w:color="auto" w:fill="FBD4B4" w:themeFill="accent6" w:themeFillTint="66"/>
            <w:noWrap/>
            <w:vAlign w:val="center"/>
            <w:hideMark/>
          </w:tcPr>
          <w:p w:rsidR="00247A56" w:rsidRPr="00430D9B" w:rsidRDefault="00247A56"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474418808"/>
            <w:bookmarkStart w:id="5" w:name="_Toc65224561"/>
            <w:r w:rsidRPr="00430D9B">
              <w:rPr>
                <w:rFonts w:ascii="Times New Roman" w:eastAsia="Times New Roman" w:hAnsi="Times New Roman" w:cs="Times New Roman"/>
                <w:noProof/>
                <w:color w:val="000000" w:themeColor="text1"/>
                <w:sz w:val="24"/>
                <w:szCs w:val="24"/>
                <w:lang w:val="sq-AL" w:eastAsia="sq-AL"/>
              </w:rPr>
              <w:t>3. Paraqitja statistikore</w:t>
            </w:r>
            <w:bookmarkEnd w:id="4"/>
            <w:bookmarkEnd w:id="5"/>
          </w:p>
        </w:tc>
      </w:tr>
      <w:tr w:rsidR="00E43898" w:rsidRPr="0093731F" w:rsidTr="00841B6F">
        <w:trPr>
          <w:trHeight w:val="1889"/>
        </w:trPr>
        <w:tc>
          <w:tcPr>
            <w:tcW w:w="2518" w:type="dxa"/>
            <w:shd w:val="clear" w:color="auto" w:fill="FFFFCC"/>
            <w:noWrap/>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3.1. Përshkrimi i të dhënave</w:t>
            </w:r>
          </w:p>
        </w:tc>
        <w:tc>
          <w:tcPr>
            <w:tcW w:w="8164" w:type="dxa"/>
            <w:shd w:val="clear" w:color="auto" w:fill="auto"/>
            <w:vAlign w:val="center"/>
          </w:tcPr>
          <w:p w:rsidR="005C26EF" w:rsidRPr="00760ECD" w:rsidRDefault="005C26EF" w:rsidP="00760ECD">
            <w:pPr>
              <w:spacing w:before="200" w:line="240" w:lineRule="auto"/>
              <w:ind w:left="101" w:right="86"/>
              <w:jc w:val="both"/>
              <w:rPr>
                <w:rFonts w:ascii="Times New Roman" w:hAnsi="Times New Roman" w:cs="Times New Roman"/>
                <w:sz w:val="24"/>
                <w:lang w:val="de-DE"/>
              </w:rPr>
            </w:pPr>
            <w:r w:rsidRPr="00760ECD">
              <w:rPr>
                <w:rFonts w:ascii="Times New Roman" w:hAnsi="Times New Roman" w:cs="Times New Roman"/>
                <w:sz w:val="24"/>
                <w:lang w:val="de-DE"/>
              </w:rPr>
              <w:t>Statistikat mbi energjinë elektrike prodhohen me periodicitet tremujorë dhe vjetorë (të detajuara sipas muajve), bazuar në burimet administrative mbi sasinë e energjisë elektrike në vend.</w:t>
            </w:r>
          </w:p>
          <w:p w:rsidR="00E43898" w:rsidRPr="00760ECD" w:rsidRDefault="005C26EF" w:rsidP="00760ECD">
            <w:pPr>
              <w:spacing w:before="200" w:line="240" w:lineRule="auto"/>
              <w:ind w:left="101" w:right="86"/>
              <w:jc w:val="both"/>
              <w:rPr>
                <w:rFonts w:ascii="Times New Roman" w:hAnsi="Times New Roman" w:cs="Times New Roman"/>
                <w:sz w:val="24"/>
                <w:lang w:val="de-DE"/>
              </w:rPr>
            </w:pPr>
            <w:r w:rsidRPr="00760ECD">
              <w:rPr>
                <w:rFonts w:ascii="Times New Roman" w:hAnsi="Times New Roman" w:cs="Times New Roman"/>
                <w:sz w:val="24"/>
                <w:lang w:val="de-DE"/>
              </w:rPr>
              <w:t>Në bazë të këtyre statistikave hartohet Bilanci i Energjisë Elektrike. Të dhënat i referohen prodhimit, shkëmbimit, konsumit dhe humbjeve të energjisë elektrike.</w:t>
            </w:r>
          </w:p>
        </w:tc>
      </w:tr>
      <w:tr w:rsidR="00E43898" w:rsidRPr="0093731F" w:rsidTr="0093731F">
        <w:trPr>
          <w:trHeight w:val="221"/>
        </w:trPr>
        <w:tc>
          <w:tcPr>
            <w:tcW w:w="2518" w:type="dxa"/>
            <w:shd w:val="clear" w:color="auto" w:fill="FFFFCC"/>
            <w:noWrap/>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3.2. Sistemi i klasifikimit</w:t>
            </w:r>
          </w:p>
        </w:tc>
        <w:tc>
          <w:tcPr>
            <w:tcW w:w="8164" w:type="dxa"/>
            <w:shd w:val="clear" w:color="auto" w:fill="auto"/>
            <w:vAlign w:val="center"/>
          </w:tcPr>
          <w:p w:rsidR="00E43898" w:rsidRPr="00AF0A24" w:rsidRDefault="005C26EF" w:rsidP="00760ECD">
            <w:pPr>
              <w:spacing w:before="200" w:line="240" w:lineRule="auto"/>
              <w:ind w:left="101" w:right="86"/>
              <w:jc w:val="both"/>
              <w:rPr>
                <w:rFonts w:ascii="Times New Roman" w:hAnsi="Times New Roman" w:cs="Times New Roman"/>
                <w:noProof/>
                <w:color w:val="000000"/>
                <w:lang w:val="sq-AL" w:eastAsia="sq-AL"/>
              </w:rPr>
            </w:pPr>
            <w:r w:rsidRPr="0093731F">
              <w:rPr>
                <w:rFonts w:ascii="Times New Roman" w:hAnsi="Times New Roman" w:cs="Times New Roman"/>
                <w:sz w:val="24"/>
                <w:lang w:val="de-DE"/>
              </w:rPr>
              <w:t>Nuk është e aplikueshme për aktivitetin statistikor.</w:t>
            </w:r>
          </w:p>
        </w:tc>
      </w:tr>
      <w:tr w:rsidR="00E43898" w:rsidRPr="0093731F" w:rsidTr="0093731F">
        <w:trPr>
          <w:trHeight w:val="221"/>
        </w:trPr>
        <w:tc>
          <w:tcPr>
            <w:tcW w:w="2518"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3.3. Mbulimi i sektorit</w:t>
            </w:r>
          </w:p>
        </w:tc>
        <w:tc>
          <w:tcPr>
            <w:tcW w:w="8164" w:type="dxa"/>
            <w:shd w:val="clear" w:color="auto" w:fill="auto"/>
            <w:vAlign w:val="center"/>
          </w:tcPr>
          <w:p w:rsidR="005C26EF" w:rsidRPr="00760ECD" w:rsidRDefault="005C26EF" w:rsidP="00760ECD">
            <w:pPr>
              <w:spacing w:before="200" w:line="240" w:lineRule="auto"/>
              <w:ind w:left="101" w:right="86"/>
              <w:jc w:val="both"/>
              <w:rPr>
                <w:rFonts w:ascii="Times New Roman" w:hAnsi="Times New Roman" w:cs="Times New Roman"/>
                <w:sz w:val="24"/>
                <w:lang w:val="sq-AL"/>
              </w:rPr>
            </w:pPr>
            <w:r w:rsidRPr="00760ECD">
              <w:rPr>
                <w:rFonts w:ascii="Times New Roman" w:hAnsi="Times New Roman" w:cs="Times New Roman"/>
                <w:sz w:val="24"/>
                <w:lang w:val="sq-AL"/>
              </w:rPr>
              <w:t>Bilanci i Energjisë Elektrike jep informacion statistikor mbi prodhimin neto vendas të energjisë elektrike, importin dhe eksportin bruto të energjisë elektrike, humbjet në rrjet si edhe konsumin final në vendin tonë.</w:t>
            </w:r>
          </w:p>
          <w:p w:rsidR="005C26EF" w:rsidRPr="00760ECD" w:rsidRDefault="005C26EF" w:rsidP="00760ECD">
            <w:pPr>
              <w:spacing w:before="200" w:line="240" w:lineRule="auto"/>
              <w:ind w:left="101" w:right="86"/>
              <w:jc w:val="both"/>
              <w:rPr>
                <w:rFonts w:ascii="Times New Roman" w:hAnsi="Times New Roman" w:cs="Times New Roman"/>
                <w:sz w:val="24"/>
                <w:lang w:val="sq-AL"/>
              </w:rPr>
            </w:pPr>
            <w:r w:rsidRPr="00760ECD">
              <w:rPr>
                <w:rFonts w:ascii="Times New Roman" w:hAnsi="Times New Roman" w:cs="Times New Roman"/>
                <w:sz w:val="24"/>
                <w:lang w:val="sq-AL"/>
              </w:rPr>
              <w:lastRenderedPageBreak/>
              <w:t>Statistikat për energjinë elektrike publikohen për periudha tremujore nga të dhënat mujore të grumbulluara prej burimeve administrative si:</w:t>
            </w:r>
          </w:p>
          <w:p w:rsidR="00E43898" w:rsidRPr="00760ECD" w:rsidRDefault="005C26EF" w:rsidP="00760ECD">
            <w:pPr>
              <w:spacing w:before="200" w:line="240" w:lineRule="auto"/>
              <w:ind w:left="101" w:right="86"/>
              <w:jc w:val="both"/>
              <w:rPr>
                <w:rFonts w:ascii="Times New Roman" w:hAnsi="Times New Roman" w:cs="Times New Roman"/>
                <w:sz w:val="24"/>
                <w:lang w:val="sq-AL"/>
              </w:rPr>
            </w:pPr>
            <w:r w:rsidRPr="00760ECD">
              <w:rPr>
                <w:rFonts w:ascii="Times New Roman" w:hAnsi="Times New Roman" w:cs="Times New Roman"/>
                <w:sz w:val="24"/>
                <w:lang w:val="sq-AL"/>
              </w:rPr>
              <w:t>KESH sh.a është shoqëri e pavarur shtetërore që prodhon, transformon dhe kryen shitjen dhe blerjen e energjisë</w:t>
            </w:r>
            <w:r w:rsidRPr="00760ECD">
              <w:rPr>
                <w:rFonts w:ascii="Times New Roman" w:hAnsi="Times New Roman" w:cs="Times New Roman"/>
                <w:spacing w:val="-6"/>
                <w:sz w:val="24"/>
                <w:lang w:val="sq-AL"/>
              </w:rPr>
              <w:t xml:space="preserve"> </w:t>
            </w:r>
            <w:r w:rsidRPr="00760ECD">
              <w:rPr>
                <w:rFonts w:ascii="Times New Roman" w:hAnsi="Times New Roman" w:cs="Times New Roman"/>
                <w:sz w:val="24"/>
                <w:lang w:val="sq-AL"/>
              </w:rPr>
              <w:t>elektrike;</w:t>
            </w:r>
          </w:p>
          <w:p w:rsidR="004B138C" w:rsidRPr="0093731F" w:rsidRDefault="004B138C" w:rsidP="00525746">
            <w:pPr>
              <w:pStyle w:val="TableParagraph"/>
              <w:numPr>
                <w:ilvl w:val="0"/>
                <w:numId w:val="5"/>
              </w:numPr>
              <w:tabs>
                <w:tab w:val="left" w:pos="279"/>
              </w:tabs>
              <w:ind w:right="86"/>
              <w:jc w:val="both"/>
              <w:rPr>
                <w:sz w:val="24"/>
                <w:lang w:val="sq-AL"/>
              </w:rPr>
            </w:pPr>
            <w:r w:rsidRPr="0093731F">
              <w:rPr>
                <w:sz w:val="24"/>
                <w:lang w:val="sq-AL"/>
              </w:rPr>
              <w:t xml:space="preserve">   </w:t>
            </w:r>
            <w:r w:rsidR="005C26EF" w:rsidRPr="0093731F">
              <w:rPr>
                <w:sz w:val="24"/>
                <w:lang w:val="sq-AL"/>
              </w:rPr>
              <w:t>OSHEE sh.a është shoqëri e pavarur shtetërore që kryen furnizimin, shitjen e energjisë elektrike si edhe operimin dhe menaxhimin e rrjetit të shpërndarjes;</w:t>
            </w:r>
          </w:p>
          <w:p w:rsidR="004B138C" w:rsidRDefault="004B138C" w:rsidP="00525746">
            <w:pPr>
              <w:pStyle w:val="TableParagraph"/>
              <w:numPr>
                <w:ilvl w:val="0"/>
                <w:numId w:val="5"/>
              </w:numPr>
              <w:tabs>
                <w:tab w:val="left" w:pos="279"/>
              </w:tabs>
              <w:ind w:right="86"/>
              <w:jc w:val="both"/>
              <w:rPr>
                <w:sz w:val="24"/>
              </w:rPr>
            </w:pPr>
            <w:r w:rsidRPr="0093731F">
              <w:rPr>
                <w:sz w:val="24"/>
                <w:lang w:val="sq-AL"/>
              </w:rPr>
              <w:t xml:space="preserve">   </w:t>
            </w:r>
            <w:r w:rsidR="005C26EF" w:rsidRPr="0093731F">
              <w:rPr>
                <w:sz w:val="24"/>
                <w:lang w:val="sq-AL"/>
              </w:rPr>
              <w:t xml:space="preserve">OST sh.a është shoqëri e pavarur shtetërore që operon në sistemin e transmetimit të energjisë elektrike, nga pikëpamja fizike dhe e shpërndarjes. </w:t>
            </w:r>
            <w:r w:rsidR="005C26EF" w:rsidRPr="004B138C">
              <w:rPr>
                <w:sz w:val="24"/>
              </w:rPr>
              <w:t>OST sh.a garanton kapacitetet e nevojshme transmetuese për:</w:t>
            </w:r>
          </w:p>
          <w:p w:rsidR="004B138C" w:rsidRDefault="004B138C" w:rsidP="00525746">
            <w:pPr>
              <w:pStyle w:val="TableParagraph"/>
              <w:numPr>
                <w:ilvl w:val="0"/>
                <w:numId w:val="5"/>
              </w:numPr>
              <w:tabs>
                <w:tab w:val="left" w:pos="279"/>
              </w:tabs>
              <w:ind w:right="86"/>
              <w:jc w:val="both"/>
              <w:rPr>
                <w:sz w:val="24"/>
              </w:rPr>
            </w:pPr>
            <w:r>
              <w:rPr>
                <w:sz w:val="24"/>
              </w:rPr>
              <w:t xml:space="preserve">   </w:t>
            </w:r>
            <w:r w:rsidRPr="004B138C">
              <w:rPr>
                <w:sz w:val="24"/>
              </w:rPr>
              <w:t>F</w:t>
            </w:r>
            <w:r w:rsidR="005C26EF" w:rsidRPr="004B138C">
              <w:rPr>
                <w:sz w:val="24"/>
              </w:rPr>
              <w:t>urnizimin e pa ndërprerë me energji elektrike të nënstaci</w:t>
            </w:r>
            <w:r>
              <w:rPr>
                <w:sz w:val="24"/>
              </w:rPr>
              <w:t xml:space="preserve">oneve të sistemit të </w:t>
            </w:r>
            <w:r w:rsidR="005C26EF" w:rsidRPr="004B138C">
              <w:rPr>
                <w:sz w:val="24"/>
              </w:rPr>
              <w:t>shpërndarjes dhe konsumatorëve të energjis</w:t>
            </w:r>
            <w:r w:rsidR="00833253" w:rsidRPr="004B138C">
              <w:rPr>
                <w:sz w:val="24"/>
              </w:rPr>
              <w:t xml:space="preserve">ë elektrike të lidhur direkt në </w:t>
            </w:r>
            <w:r w:rsidR="005C26EF" w:rsidRPr="004B138C">
              <w:rPr>
                <w:sz w:val="24"/>
              </w:rPr>
              <w:t>rrjetin e</w:t>
            </w:r>
            <w:r w:rsidR="005C26EF" w:rsidRPr="004B138C">
              <w:rPr>
                <w:spacing w:val="-2"/>
                <w:sz w:val="24"/>
              </w:rPr>
              <w:t xml:space="preserve"> </w:t>
            </w:r>
            <w:r w:rsidR="005C26EF" w:rsidRPr="004B138C">
              <w:rPr>
                <w:sz w:val="24"/>
              </w:rPr>
              <w:t>transmetimit,</w:t>
            </w:r>
          </w:p>
          <w:p w:rsidR="004B138C" w:rsidRPr="0093731F" w:rsidRDefault="004B138C" w:rsidP="00525746">
            <w:pPr>
              <w:pStyle w:val="TableParagraph"/>
              <w:numPr>
                <w:ilvl w:val="0"/>
                <w:numId w:val="5"/>
              </w:numPr>
              <w:tabs>
                <w:tab w:val="left" w:pos="279"/>
              </w:tabs>
              <w:ind w:right="86"/>
              <w:jc w:val="both"/>
              <w:rPr>
                <w:sz w:val="24"/>
                <w:lang w:val="de-DE"/>
              </w:rPr>
            </w:pPr>
            <w:r>
              <w:rPr>
                <w:sz w:val="24"/>
              </w:rPr>
              <w:t xml:space="preserve">   </w:t>
            </w:r>
            <w:r w:rsidRPr="0093731F">
              <w:rPr>
                <w:sz w:val="24"/>
                <w:lang w:val="de-DE"/>
              </w:rPr>
              <w:t>T</w:t>
            </w:r>
            <w:r w:rsidR="005C26EF" w:rsidRPr="0093731F">
              <w:rPr>
                <w:sz w:val="24"/>
                <w:lang w:val="de-DE"/>
              </w:rPr>
              <w:t>ransmetimin e energjisë elektrike të prodhuar nga burimet e</w:t>
            </w:r>
            <w:r w:rsidR="005C26EF" w:rsidRPr="0093731F">
              <w:rPr>
                <w:spacing w:val="-11"/>
                <w:sz w:val="24"/>
                <w:lang w:val="de-DE"/>
              </w:rPr>
              <w:t xml:space="preserve"> </w:t>
            </w:r>
            <w:r w:rsidR="005C26EF" w:rsidRPr="0093731F">
              <w:rPr>
                <w:sz w:val="24"/>
                <w:lang w:val="de-DE"/>
              </w:rPr>
              <w:t>vendit,</w:t>
            </w:r>
          </w:p>
          <w:p w:rsidR="00214FF2" w:rsidRPr="0093731F" w:rsidRDefault="004B138C" w:rsidP="005A5408">
            <w:pPr>
              <w:pStyle w:val="TableParagraph"/>
              <w:numPr>
                <w:ilvl w:val="0"/>
                <w:numId w:val="5"/>
              </w:numPr>
              <w:tabs>
                <w:tab w:val="left" w:pos="279"/>
              </w:tabs>
              <w:spacing w:after="240"/>
              <w:ind w:right="86"/>
              <w:jc w:val="both"/>
              <w:rPr>
                <w:sz w:val="24"/>
                <w:lang w:val="de-DE"/>
              </w:rPr>
            </w:pPr>
            <w:r w:rsidRPr="0093731F">
              <w:rPr>
                <w:sz w:val="24"/>
                <w:szCs w:val="24"/>
                <w:lang w:val="de-DE"/>
              </w:rPr>
              <w:t xml:space="preserve">   T</w:t>
            </w:r>
            <w:r w:rsidR="00214FF2" w:rsidRPr="0093731F">
              <w:rPr>
                <w:sz w:val="24"/>
                <w:szCs w:val="24"/>
                <w:lang w:val="de-DE"/>
              </w:rPr>
              <w:t>ranzitet dhe shkëmbimet e nevojshme me vendet e</w:t>
            </w:r>
            <w:r w:rsidR="00214FF2" w:rsidRPr="0093731F">
              <w:rPr>
                <w:spacing w:val="-4"/>
                <w:sz w:val="24"/>
                <w:szCs w:val="24"/>
                <w:lang w:val="de-DE"/>
              </w:rPr>
              <w:t xml:space="preserve"> </w:t>
            </w:r>
            <w:r w:rsidR="00214FF2" w:rsidRPr="0093731F">
              <w:rPr>
                <w:sz w:val="24"/>
                <w:szCs w:val="24"/>
                <w:lang w:val="de-DE"/>
              </w:rPr>
              <w:t>rajonit.</w:t>
            </w:r>
          </w:p>
        </w:tc>
      </w:tr>
      <w:tr w:rsidR="00E43898" w:rsidRPr="00430D9B" w:rsidTr="00A112B8">
        <w:trPr>
          <w:trHeight w:val="567"/>
        </w:trPr>
        <w:tc>
          <w:tcPr>
            <w:tcW w:w="2518"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3.4. Koncepte statistikore dhe përkufizime</w:t>
            </w:r>
          </w:p>
        </w:tc>
        <w:tc>
          <w:tcPr>
            <w:tcW w:w="8164" w:type="dxa"/>
            <w:shd w:val="clear" w:color="auto" w:fill="auto"/>
            <w:vAlign w:val="center"/>
          </w:tcPr>
          <w:p w:rsidR="005C26EF" w:rsidRPr="0093731F" w:rsidRDefault="005C26EF" w:rsidP="00AF0A24">
            <w:pPr>
              <w:pStyle w:val="TableParagraph"/>
              <w:spacing w:before="240" w:after="240" w:line="273" w:lineRule="exact"/>
              <w:ind w:left="101" w:right="86"/>
              <w:jc w:val="both"/>
              <w:rPr>
                <w:b/>
                <w:sz w:val="24"/>
                <w:lang w:val="sq-AL"/>
              </w:rPr>
            </w:pPr>
            <w:r w:rsidRPr="0093731F">
              <w:rPr>
                <w:b/>
                <w:sz w:val="24"/>
                <w:lang w:val="sq-AL"/>
              </w:rPr>
              <w:t>Përkufizimet e variablave bazë</w:t>
            </w:r>
          </w:p>
          <w:p w:rsidR="005C26EF" w:rsidRPr="0093731F" w:rsidRDefault="005C26EF" w:rsidP="00AF0A24">
            <w:pPr>
              <w:pStyle w:val="TableParagraph"/>
              <w:spacing w:before="240" w:after="240"/>
              <w:ind w:left="101" w:right="86"/>
              <w:jc w:val="both"/>
              <w:rPr>
                <w:sz w:val="24"/>
                <w:lang w:val="sq-AL"/>
              </w:rPr>
            </w:pPr>
            <w:r w:rsidRPr="0093731F">
              <w:rPr>
                <w:b/>
                <w:sz w:val="24"/>
                <w:lang w:val="sq-AL"/>
              </w:rPr>
              <w:t xml:space="preserve">Energji në dispozicion </w:t>
            </w:r>
            <w:r w:rsidRPr="0093731F">
              <w:rPr>
                <w:sz w:val="24"/>
                <w:lang w:val="sq-AL"/>
              </w:rPr>
              <w:t>referohet sasisë së energjisë elektrike të prodhuar nga prodhimi vendas i energjisë elektrike plus sasisë së importuar (përfshirë këmbimet) minus sasisë së eksportuar (përfshirë këmbimet).</w:t>
            </w:r>
          </w:p>
          <w:p w:rsidR="005C26EF" w:rsidRPr="0093731F" w:rsidRDefault="005C26EF" w:rsidP="00AF0A24">
            <w:pPr>
              <w:pStyle w:val="TableParagraph"/>
              <w:spacing w:before="240" w:after="240"/>
              <w:ind w:left="101" w:right="86"/>
              <w:jc w:val="both"/>
              <w:rPr>
                <w:sz w:val="24"/>
                <w:lang w:val="sq-AL"/>
              </w:rPr>
            </w:pPr>
            <w:r w:rsidRPr="0093731F">
              <w:rPr>
                <w:b/>
                <w:sz w:val="24"/>
                <w:lang w:val="sq-AL"/>
              </w:rPr>
              <w:t xml:space="preserve">Prodhimi neto vendas </w:t>
            </w:r>
            <w:r w:rsidRPr="0093731F">
              <w:rPr>
                <w:sz w:val="24"/>
                <w:lang w:val="sq-AL"/>
              </w:rPr>
              <w:t>llogaritet si shumë e sasisë së energjisë elektrike të prodhuar nga të gjithë prodhuesit në vend si prodhimi i hidrocentraleve, termocentraleve dhe prodhuesit e</w:t>
            </w:r>
            <w:r w:rsidRPr="0093731F">
              <w:rPr>
                <w:spacing w:val="-5"/>
                <w:sz w:val="24"/>
                <w:lang w:val="sq-AL"/>
              </w:rPr>
              <w:t xml:space="preserve"> </w:t>
            </w:r>
            <w:r w:rsidRPr="0093731F">
              <w:rPr>
                <w:sz w:val="24"/>
                <w:lang w:val="sq-AL"/>
              </w:rPr>
              <w:t>tjerë.</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Energji termo </w:t>
            </w:r>
            <w:r w:rsidRPr="0093731F">
              <w:rPr>
                <w:sz w:val="24"/>
                <w:lang w:val="de-DE"/>
              </w:rPr>
              <w:t>i referohet energjisë elektrike të prodhuar nga termocentralet.</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Energji hidro </w:t>
            </w:r>
            <w:r w:rsidRPr="0093731F">
              <w:rPr>
                <w:sz w:val="24"/>
                <w:lang w:val="de-DE"/>
              </w:rPr>
              <w:t>i referohet sasisë së energjisë elektrike të gjeneruar nga uji në hidrocentrale.</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Konsumi dhe humbjet vetjake </w:t>
            </w:r>
            <w:r w:rsidRPr="0093731F">
              <w:rPr>
                <w:sz w:val="24"/>
                <w:lang w:val="de-DE"/>
              </w:rPr>
              <w:t>i referohet energjisë elektrike të përdorur nga veprimtaritë ndihmëse të stacionit të energjisë të lidhura direkt me prodhimin si psh. ftohje e ujit, shërbimet e stacionit të energjisë, ngrohje, ndriçim, etj.</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Prodhues të pavarur privatë dhe koncesionarë </w:t>
            </w:r>
            <w:r w:rsidRPr="0093731F">
              <w:rPr>
                <w:sz w:val="24"/>
                <w:lang w:val="de-DE"/>
              </w:rPr>
              <w:t xml:space="preserve">u referohen prodhuesve private të energjisë elektrike të cilët në rastin e Shqipërisë përbëhen nga impiante ish-publike të privatizuara ose impiante të ndërtuara nga subjektet private vendëse apo të huaja </w:t>
            </w:r>
            <w:r w:rsidR="002A16B8" w:rsidRPr="0093731F">
              <w:rPr>
                <w:sz w:val="24"/>
                <w:lang w:val="de-DE"/>
              </w:rPr>
              <w:t xml:space="preserve">përmes kontratave koncesionare </w:t>
            </w:r>
            <w:r w:rsidRPr="0093731F">
              <w:rPr>
                <w:sz w:val="24"/>
                <w:lang w:val="de-DE"/>
              </w:rPr>
              <w:t>me Republikën e Shqipërisë. Këta prodhues lidhen direkt në sistemin e transmetimit dhe linçensohen nga Enti Rregullator i Energjisë (ERE) dhe mund të shesin kapacitete ose energji OST-së dhe OSHEE-së, për të mbuluar humbjet në sistemin e transmetimit dhe shpërndarjes, si edhe tek klientë të</w:t>
            </w:r>
            <w:r w:rsidRPr="0093731F">
              <w:rPr>
                <w:spacing w:val="-2"/>
                <w:sz w:val="24"/>
                <w:lang w:val="de-DE"/>
              </w:rPr>
              <w:t xml:space="preserve"> </w:t>
            </w:r>
            <w:r w:rsidRPr="0093731F">
              <w:rPr>
                <w:sz w:val="24"/>
                <w:lang w:val="de-DE"/>
              </w:rPr>
              <w:t>tjerë.</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Prodhues të tjerë </w:t>
            </w:r>
            <w:r w:rsidRPr="0093731F">
              <w:rPr>
                <w:sz w:val="24"/>
                <w:lang w:val="de-DE"/>
              </w:rPr>
              <w:t>i referohet prodhimit të energjisë elektrike nga burime të tjera të energjisë, duke përjashtuar energjinë hidro dhe termo.</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Shkëmbimi i energjisë elektrike </w:t>
            </w:r>
            <w:r w:rsidRPr="0093731F">
              <w:rPr>
                <w:sz w:val="24"/>
                <w:lang w:val="de-DE"/>
              </w:rPr>
              <w:t>i referohet diferencës midis eksportit dhe importit të energjisë elektrike. Kjo përfshin edhe tranzitet dhe shkëmbimet (dhënie - marrje energjie) e nevojshme të energjisë elektrike me vendet e rajonit.</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Konsumi i energjisë elektrike </w:t>
            </w:r>
            <w:r w:rsidRPr="0093731F">
              <w:rPr>
                <w:sz w:val="24"/>
                <w:lang w:val="de-DE"/>
              </w:rPr>
              <w:t xml:space="preserve">i referohet përdorimit nga konsumatorë </w:t>
            </w:r>
            <w:r w:rsidRPr="0093731F">
              <w:rPr>
                <w:sz w:val="24"/>
                <w:lang w:val="de-DE"/>
              </w:rPr>
              <w:lastRenderedPageBreak/>
              <w:t>familjarë dhe jo familjarë dhe sasisë së humbjeve në rrjet të energjisë elektrike.</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Humbjet në rrjet </w:t>
            </w:r>
            <w:r w:rsidRPr="0093731F">
              <w:rPr>
                <w:sz w:val="24"/>
                <w:lang w:val="de-DE"/>
              </w:rPr>
              <w:t>përbëjnë humbjet në transmetim duke përfshirë edhe konsumin vetjak në transmetim si edhe humbjet në shpërndarje. Humbjet teknike në shpërndarje janë të vlerësuara nga OSHEE sh.a. Humbjet jo teknike i referohen diferencës së humbjeve gjithsej në shpërndarje me humbjet teknike në shpërndarje.</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Përdorimi nga konsumatorët </w:t>
            </w:r>
            <w:r w:rsidRPr="0093731F">
              <w:rPr>
                <w:sz w:val="24"/>
                <w:lang w:val="de-DE"/>
              </w:rPr>
              <w:t>është i barabartë me shumën e energjisë elektrike 4 të konsumuar nga konsumatorë familjarë dhe jo familjarë:</w:t>
            </w:r>
          </w:p>
          <w:p w:rsidR="005C26EF" w:rsidRPr="0093731F" w:rsidRDefault="005C26EF" w:rsidP="00AF0A24">
            <w:pPr>
              <w:pStyle w:val="TableParagraph"/>
              <w:spacing w:before="240" w:after="240"/>
              <w:ind w:left="101" w:right="86"/>
              <w:jc w:val="both"/>
              <w:rPr>
                <w:sz w:val="24"/>
                <w:lang w:val="de-DE"/>
              </w:rPr>
            </w:pPr>
            <w:r w:rsidRPr="0093731F">
              <w:rPr>
                <w:b/>
                <w:sz w:val="24"/>
                <w:lang w:val="de-DE"/>
              </w:rPr>
              <w:t xml:space="preserve">Familjarët </w:t>
            </w:r>
            <w:r w:rsidRPr="0093731F">
              <w:rPr>
                <w:sz w:val="24"/>
                <w:lang w:val="de-DE"/>
              </w:rPr>
              <w:t>i referohet sasisë së konsumit të energjisë elektrike në familje.</w:t>
            </w:r>
          </w:p>
          <w:p w:rsidR="00E43898" w:rsidRPr="003050CD" w:rsidRDefault="005C26EF" w:rsidP="00AF0A24">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AF0A24">
              <w:rPr>
                <w:rFonts w:ascii="Times New Roman" w:hAnsi="Times New Roman" w:cs="Times New Roman"/>
                <w:b/>
                <w:sz w:val="24"/>
              </w:rPr>
              <w:t xml:space="preserve">Jo familjarët </w:t>
            </w:r>
            <w:r w:rsidRPr="00AF0A24">
              <w:rPr>
                <w:rFonts w:ascii="Times New Roman" w:hAnsi="Times New Roman" w:cs="Times New Roman"/>
                <w:sz w:val="24"/>
              </w:rPr>
              <w:t>i referohet sasisë së konsumit të energjisë elektrike nga sektorët e industrisë, transportit, agrikulturës</w:t>
            </w:r>
            <w:r w:rsidR="002A16B8">
              <w:rPr>
                <w:rFonts w:ascii="Times New Roman" w:hAnsi="Times New Roman" w:cs="Times New Roman"/>
                <w:sz w:val="24"/>
              </w:rPr>
              <w:t xml:space="preserve">, shërbimeve publike, etj. duke </w:t>
            </w:r>
            <w:r w:rsidRPr="00AF0A24">
              <w:rPr>
                <w:rFonts w:ascii="Times New Roman" w:hAnsi="Times New Roman" w:cs="Times New Roman"/>
                <w:sz w:val="24"/>
              </w:rPr>
              <w:t>përjashtuar konsumin nga familjarët.</w:t>
            </w:r>
          </w:p>
        </w:tc>
      </w:tr>
      <w:tr w:rsidR="00B15F7B" w:rsidRPr="0093731F" w:rsidTr="00A112B8">
        <w:trPr>
          <w:trHeight w:val="567"/>
        </w:trPr>
        <w:tc>
          <w:tcPr>
            <w:tcW w:w="2518" w:type="dxa"/>
            <w:shd w:val="clear" w:color="auto" w:fill="FFFFCC"/>
            <w:vAlign w:val="center"/>
            <w:hideMark/>
          </w:tcPr>
          <w:p w:rsidR="00CD6D1C" w:rsidRPr="00430D9B" w:rsidRDefault="00CD6D1C"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3.5. Njësia statistikore</w:t>
            </w:r>
          </w:p>
        </w:tc>
        <w:tc>
          <w:tcPr>
            <w:tcW w:w="8164" w:type="dxa"/>
            <w:shd w:val="clear" w:color="auto" w:fill="auto"/>
            <w:noWrap/>
            <w:vAlign w:val="center"/>
            <w:hideMark/>
          </w:tcPr>
          <w:p w:rsidR="00CD6D1C" w:rsidRPr="00760ECD" w:rsidRDefault="005C26EF" w:rsidP="00760ECD">
            <w:pPr>
              <w:spacing w:before="200" w:line="240" w:lineRule="auto"/>
              <w:ind w:left="101" w:right="86"/>
              <w:jc w:val="both"/>
              <w:rPr>
                <w:rFonts w:ascii="Times New Roman" w:hAnsi="Times New Roman" w:cs="Times New Roman"/>
                <w:sz w:val="24"/>
              </w:rPr>
            </w:pPr>
            <w:r w:rsidRPr="00760ECD">
              <w:rPr>
                <w:rFonts w:ascii="Times New Roman" w:hAnsi="Times New Roman" w:cs="Times New Roman"/>
                <w:sz w:val="24"/>
              </w:rPr>
              <w:t>Operatorët të cilët kryejnë prodhimin, transmetimin ose shpërndarjen e energjisë elektrike.</w:t>
            </w:r>
          </w:p>
        </w:tc>
      </w:tr>
      <w:tr w:rsidR="00E43898" w:rsidRPr="0093731F" w:rsidTr="005A5408">
        <w:trPr>
          <w:trHeight w:val="791"/>
        </w:trPr>
        <w:tc>
          <w:tcPr>
            <w:tcW w:w="2518"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3.6. Popullata statistikore </w:t>
            </w:r>
          </w:p>
        </w:tc>
        <w:tc>
          <w:tcPr>
            <w:tcW w:w="8164" w:type="dxa"/>
            <w:shd w:val="clear" w:color="auto" w:fill="auto"/>
            <w:vAlign w:val="center"/>
          </w:tcPr>
          <w:p w:rsidR="00E43898" w:rsidRPr="00760ECD" w:rsidRDefault="005C26EF" w:rsidP="00760ECD">
            <w:pPr>
              <w:spacing w:before="200" w:line="240" w:lineRule="auto"/>
              <w:ind w:left="101" w:right="86"/>
              <w:jc w:val="both"/>
              <w:rPr>
                <w:rFonts w:ascii="Times New Roman" w:hAnsi="Times New Roman" w:cs="Times New Roman"/>
                <w:sz w:val="24"/>
              </w:rPr>
            </w:pPr>
            <w:r w:rsidRPr="00760ECD">
              <w:rPr>
                <w:rFonts w:ascii="Times New Roman" w:hAnsi="Times New Roman" w:cs="Times New Roman"/>
                <w:sz w:val="24"/>
              </w:rPr>
              <w:t>Të gjithë prodhuesit, transmetuesit dhe shpërndarësit e energjisë elektrike në vend.</w:t>
            </w:r>
            <w:r w:rsidR="00912F31" w:rsidRPr="00760ECD">
              <w:rPr>
                <w:rFonts w:ascii="Times New Roman" w:hAnsi="Times New Roman" w:cs="Times New Roman"/>
                <w:sz w:val="24"/>
              </w:rPr>
              <w:t xml:space="preserve"> </w:t>
            </w:r>
          </w:p>
        </w:tc>
      </w:tr>
      <w:tr w:rsidR="00B15F7B" w:rsidRPr="00430D9B" w:rsidTr="00C14B60">
        <w:trPr>
          <w:trHeight w:val="593"/>
        </w:trPr>
        <w:tc>
          <w:tcPr>
            <w:tcW w:w="2518" w:type="dxa"/>
            <w:shd w:val="clear" w:color="auto" w:fill="FFFFCC"/>
            <w:vAlign w:val="center"/>
            <w:hideMark/>
          </w:tcPr>
          <w:p w:rsidR="00343A0D" w:rsidRPr="00430D9B" w:rsidRDefault="00343A0D"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3.7. Zona e referencës</w:t>
            </w:r>
          </w:p>
        </w:tc>
        <w:tc>
          <w:tcPr>
            <w:tcW w:w="8164" w:type="dxa"/>
            <w:shd w:val="clear" w:color="auto" w:fill="auto"/>
            <w:noWrap/>
            <w:vAlign w:val="center"/>
            <w:hideMark/>
          </w:tcPr>
          <w:p w:rsidR="00343A0D" w:rsidRPr="00AF0A24" w:rsidRDefault="005C26EF"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AF0A24">
              <w:rPr>
                <w:rFonts w:ascii="Times New Roman" w:hAnsi="Times New Roman" w:cs="Times New Roman"/>
                <w:sz w:val="24"/>
              </w:rPr>
              <w:t>Në nivel kombëtar</w:t>
            </w:r>
            <w:r w:rsidR="002857E2">
              <w:rPr>
                <w:rFonts w:ascii="Times New Roman" w:hAnsi="Times New Roman" w:cs="Times New Roman"/>
                <w:sz w:val="24"/>
              </w:rPr>
              <w:t>.</w:t>
            </w:r>
          </w:p>
        </w:tc>
      </w:tr>
      <w:tr w:rsidR="00E43898" w:rsidRPr="00430D9B" w:rsidTr="00A112B8">
        <w:trPr>
          <w:trHeight w:val="611"/>
        </w:trPr>
        <w:tc>
          <w:tcPr>
            <w:tcW w:w="2518" w:type="dxa"/>
            <w:shd w:val="clear" w:color="auto" w:fill="FFFFCC"/>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3.8. </w:t>
            </w:r>
            <w:r w:rsidRPr="00430D9B">
              <w:rPr>
                <w:rFonts w:ascii="Times New Roman" w:eastAsia="Times New Roman" w:hAnsi="Times New Roman" w:cs="Times New Roman"/>
                <w:noProof/>
                <w:color w:val="000000" w:themeColor="text1"/>
                <w:sz w:val="24"/>
                <w:szCs w:val="24"/>
                <w:lang w:val="sq-AL" w:eastAsia="sq-AL"/>
              </w:rPr>
              <w:t>Mbulimi në kohë</w:t>
            </w:r>
            <w:r w:rsidRPr="00430D9B">
              <w:rPr>
                <w:rFonts w:ascii="Times New Roman" w:eastAsia="Times New Roman" w:hAnsi="Times New Roman" w:cs="Times New Roman"/>
                <w:noProof/>
                <w:color w:val="000000"/>
                <w:sz w:val="24"/>
                <w:szCs w:val="24"/>
                <w:lang w:val="sq-AL" w:eastAsia="sq-AL"/>
              </w:rPr>
              <w:t> </w:t>
            </w:r>
          </w:p>
        </w:tc>
        <w:tc>
          <w:tcPr>
            <w:tcW w:w="8164" w:type="dxa"/>
            <w:shd w:val="clear" w:color="auto" w:fill="auto"/>
            <w:vAlign w:val="center"/>
          </w:tcPr>
          <w:p w:rsidR="00E43898" w:rsidRPr="00854265" w:rsidRDefault="00854265" w:rsidP="00AF0A24">
            <w:pPr>
              <w:spacing w:before="240" w:after="240" w:line="240" w:lineRule="auto"/>
              <w:ind w:left="101" w:right="86"/>
              <w:jc w:val="both"/>
              <w:rPr>
                <w:rFonts w:ascii="Times New Roman" w:eastAsia="Times New Roman" w:hAnsi="Times New Roman" w:cs="Times New Roman"/>
                <w:noProof/>
                <w:color w:val="000000"/>
                <w:sz w:val="24"/>
                <w:szCs w:val="24"/>
                <w:highlight w:val="green"/>
                <w:lang w:val="sq-AL" w:eastAsia="sq-AL"/>
              </w:rPr>
            </w:pPr>
            <w:r w:rsidRPr="005F7E55">
              <w:rPr>
                <w:rFonts w:ascii="Times New Roman" w:hAnsi="Times New Roman" w:cs="Times New Roman"/>
                <w:sz w:val="24"/>
              </w:rPr>
              <w:t>T</w:t>
            </w:r>
            <w:r w:rsidR="00831387" w:rsidRPr="005F7E55">
              <w:rPr>
                <w:rFonts w:ascii="Times New Roman" w:hAnsi="Times New Roman" w:cs="Times New Roman"/>
                <w:sz w:val="24"/>
              </w:rPr>
              <w:t>ë</w:t>
            </w:r>
            <w:r w:rsidRPr="005F7E55">
              <w:rPr>
                <w:rFonts w:ascii="Times New Roman" w:hAnsi="Times New Roman" w:cs="Times New Roman"/>
                <w:sz w:val="24"/>
              </w:rPr>
              <w:t xml:space="preserve"> dhënat e mbledhura</w:t>
            </w:r>
            <w:r w:rsidR="00831387" w:rsidRPr="005F7E55">
              <w:rPr>
                <w:rFonts w:ascii="Times New Roman" w:hAnsi="Times New Roman" w:cs="Times New Roman"/>
                <w:sz w:val="24"/>
              </w:rPr>
              <w:t xml:space="preserve"> p</w:t>
            </w:r>
            <w:r w:rsidRPr="005F7E55">
              <w:rPr>
                <w:rFonts w:ascii="Times New Roman" w:hAnsi="Times New Roman" w:cs="Times New Roman"/>
                <w:sz w:val="24"/>
              </w:rPr>
              <w:t>ër Bilancin e Energjisë Elektrike datojnë që n</w:t>
            </w:r>
            <w:r w:rsidR="005C26EF" w:rsidRPr="005F7E55">
              <w:rPr>
                <w:rFonts w:ascii="Times New Roman" w:hAnsi="Times New Roman" w:cs="Times New Roman"/>
                <w:sz w:val="24"/>
              </w:rPr>
              <w:t>ga viti 1993</w:t>
            </w:r>
            <w:r w:rsidRPr="005F7E55">
              <w:rPr>
                <w:rFonts w:ascii="Times New Roman" w:hAnsi="Times New Roman" w:cs="Times New Roman"/>
                <w:sz w:val="24"/>
              </w:rPr>
              <w:t>.</w:t>
            </w:r>
          </w:p>
        </w:tc>
      </w:tr>
      <w:tr w:rsidR="00B15F7B" w:rsidRPr="0093731F" w:rsidTr="00EF2656">
        <w:trPr>
          <w:trHeight w:val="404"/>
        </w:trPr>
        <w:tc>
          <w:tcPr>
            <w:tcW w:w="2518" w:type="dxa"/>
            <w:shd w:val="clear" w:color="auto" w:fill="FFFFCC"/>
            <w:noWrap/>
            <w:vAlign w:val="center"/>
            <w:hideMark/>
          </w:tcPr>
          <w:p w:rsidR="00343A0D" w:rsidRPr="00430D9B" w:rsidRDefault="00343A0D"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3.9. Periudha bazë</w:t>
            </w:r>
          </w:p>
        </w:tc>
        <w:tc>
          <w:tcPr>
            <w:tcW w:w="8164" w:type="dxa"/>
            <w:shd w:val="clear" w:color="auto" w:fill="auto"/>
            <w:noWrap/>
            <w:vAlign w:val="center"/>
            <w:hideMark/>
          </w:tcPr>
          <w:p w:rsidR="00343A0D" w:rsidRPr="00854265" w:rsidRDefault="00854265" w:rsidP="00760ECD">
            <w:pPr>
              <w:spacing w:before="200" w:line="240" w:lineRule="auto"/>
              <w:ind w:left="101" w:right="86"/>
              <w:jc w:val="both"/>
              <w:rPr>
                <w:rFonts w:ascii="Times New Roman" w:eastAsia="Times New Roman" w:hAnsi="Times New Roman" w:cs="Times New Roman"/>
                <w:noProof/>
                <w:color w:val="000000"/>
                <w:sz w:val="24"/>
                <w:szCs w:val="24"/>
                <w:highlight w:val="green"/>
                <w:lang w:val="sq-AL" w:eastAsia="sq-AL"/>
              </w:rPr>
            </w:pPr>
            <w:r w:rsidRPr="005F7E55">
              <w:rPr>
                <w:rFonts w:ascii="Times New Roman" w:hAnsi="Times New Roman" w:cs="Times New Roman"/>
                <w:sz w:val="24"/>
                <w:lang w:val="de-DE"/>
              </w:rPr>
              <w:t>Nuk aplikohet.</w:t>
            </w:r>
          </w:p>
        </w:tc>
      </w:tr>
      <w:tr w:rsidR="00B15F7B" w:rsidRPr="00430D9B" w:rsidTr="00EF2656">
        <w:trPr>
          <w:trHeight w:val="71"/>
        </w:trPr>
        <w:tc>
          <w:tcPr>
            <w:tcW w:w="2518" w:type="dxa"/>
            <w:shd w:val="clear" w:color="auto" w:fill="FBD4B4" w:themeFill="accent6" w:themeFillTint="66"/>
            <w:noWrap/>
            <w:vAlign w:val="center"/>
            <w:hideMark/>
          </w:tcPr>
          <w:p w:rsidR="00343A0D" w:rsidRPr="00430D9B" w:rsidRDefault="00343A0D"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474418809"/>
            <w:bookmarkStart w:id="7" w:name="_Toc65224562"/>
            <w:r w:rsidRPr="00430D9B">
              <w:rPr>
                <w:rFonts w:ascii="Times New Roman" w:eastAsia="Times New Roman" w:hAnsi="Times New Roman" w:cs="Times New Roman"/>
                <w:noProof/>
                <w:color w:val="000000"/>
                <w:sz w:val="24"/>
                <w:szCs w:val="24"/>
                <w:lang w:val="sq-AL" w:eastAsia="sq-AL"/>
              </w:rPr>
              <w:t>4</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Njësia matëse</w:t>
            </w:r>
            <w:bookmarkEnd w:id="6"/>
            <w:bookmarkEnd w:id="7"/>
          </w:p>
        </w:tc>
        <w:tc>
          <w:tcPr>
            <w:tcW w:w="8164" w:type="dxa"/>
            <w:shd w:val="clear" w:color="auto" w:fill="auto"/>
            <w:noWrap/>
            <w:vAlign w:val="center"/>
            <w:hideMark/>
          </w:tcPr>
          <w:p w:rsidR="00343A0D" w:rsidRPr="00760ECD" w:rsidRDefault="005C26EF" w:rsidP="00760ECD">
            <w:pPr>
              <w:spacing w:before="200" w:line="240" w:lineRule="auto"/>
              <w:ind w:left="101" w:right="86"/>
              <w:jc w:val="both"/>
              <w:rPr>
                <w:rFonts w:ascii="Times New Roman" w:hAnsi="Times New Roman" w:cs="Times New Roman"/>
                <w:sz w:val="24"/>
                <w:lang w:val="de-DE"/>
              </w:rPr>
            </w:pPr>
            <w:r w:rsidRPr="00760ECD">
              <w:rPr>
                <w:rFonts w:ascii="Times New Roman" w:hAnsi="Times New Roman" w:cs="Times New Roman"/>
                <w:sz w:val="24"/>
                <w:lang w:val="de-DE"/>
              </w:rPr>
              <w:t>MWh (mega vat për orë)</w:t>
            </w:r>
          </w:p>
        </w:tc>
      </w:tr>
      <w:tr w:rsidR="00B15F7B" w:rsidRPr="00430D9B" w:rsidTr="00EF2656">
        <w:trPr>
          <w:trHeight w:val="305"/>
        </w:trPr>
        <w:tc>
          <w:tcPr>
            <w:tcW w:w="2518" w:type="dxa"/>
            <w:shd w:val="clear" w:color="auto" w:fill="FBD4B4" w:themeFill="accent6" w:themeFillTint="66"/>
            <w:noWrap/>
            <w:vAlign w:val="center"/>
            <w:hideMark/>
          </w:tcPr>
          <w:p w:rsidR="00343A0D" w:rsidRPr="00430D9B" w:rsidRDefault="00343A0D" w:rsidP="007251CF">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474418810"/>
            <w:bookmarkStart w:id="9" w:name="_Toc65224563"/>
            <w:r w:rsidRPr="00430D9B">
              <w:rPr>
                <w:rFonts w:ascii="Times New Roman" w:eastAsia="Times New Roman" w:hAnsi="Times New Roman" w:cs="Times New Roman"/>
                <w:noProof/>
                <w:color w:val="000000"/>
                <w:sz w:val="24"/>
                <w:szCs w:val="24"/>
                <w:lang w:val="sq-AL" w:eastAsia="sq-AL"/>
              </w:rPr>
              <w:t>5</w:t>
            </w:r>
            <w:r w:rsidRPr="00430D9B">
              <w:rPr>
                <w:rFonts w:ascii="Times New Roman" w:eastAsia="Times New Roman" w:hAnsi="Times New Roman" w:cs="Times New Roman"/>
                <w:b w:val="0"/>
                <w:bCs w:val="0"/>
                <w:noProof/>
                <w:color w:val="000000"/>
                <w:sz w:val="24"/>
                <w:szCs w:val="24"/>
                <w:lang w:val="sq-AL" w:eastAsia="sq-AL"/>
              </w:rPr>
              <w:t xml:space="preserve">. </w:t>
            </w:r>
            <w:r w:rsidR="007251CF">
              <w:rPr>
                <w:rFonts w:ascii="Times New Roman" w:eastAsia="Times New Roman" w:hAnsi="Times New Roman" w:cs="Times New Roman"/>
                <w:noProof/>
                <w:color w:val="000000" w:themeColor="text1"/>
                <w:sz w:val="24"/>
                <w:szCs w:val="24"/>
                <w:lang w:val="sq-AL" w:eastAsia="sq-AL"/>
              </w:rPr>
              <w:t xml:space="preserve">Periudha e </w:t>
            </w:r>
            <w:r w:rsidRPr="00430D9B">
              <w:rPr>
                <w:rFonts w:ascii="Times New Roman" w:eastAsia="Times New Roman" w:hAnsi="Times New Roman" w:cs="Times New Roman"/>
                <w:noProof/>
                <w:color w:val="000000" w:themeColor="text1"/>
                <w:sz w:val="24"/>
                <w:szCs w:val="24"/>
                <w:lang w:val="sq-AL" w:eastAsia="sq-AL"/>
              </w:rPr>
              <w:t>referencës</w:t>
            </w:r>
            <w:bookmarkEnd w:id="8"/>
            <w:bookmarkEnd w:id="9"/>
          </w:p>
        </w:tc>
        <w:tc>
          <w:tcPr>
            <w:tcW w:w="8164" w:type="dxa"/>
            <w:shd w:val="clear" w:color="auto" w:fill="auto"/>
            <w:noWrap/>
            <w:vAlign w:val="center"/>
            <w:hideMark/>
          </w:tcPr>
          <w:p w:rsidR="00343A0D" w:rsidRPr="00760ECD" w:rsidRDefault="00963DDA" w:rsidP="00760ECD">
            <w:pPr>
              <w:spacing w:before="200" w:line="240" w:lineRule="auto"/>
              <w:ind w:left="101" w:right="86"/>
              <w:jc w:val="both"/>
              <w:rPr>
                <w:rFonts w:ascii="Times New Roman" w:hAnsi="Times New Roman" w:cs="Times New Roman"/>
                <w:sz w:val="24"/>
                <w:lang w:val="de-DE"/>
              </w:rPr>
            </w:pPr>
            <w:r w:rsidRPr="00760ECD">
              <w:rPr>
                <w:rFonts w:ascii="Times New Roman" w:hAnsi="Times New Roman" w:cs="Times New Roman"/>
                <w:sz w:val="24"/>
                <w:lang w:val="de-DE"/>
              </w:rPr>
              <w:t xml:space="preserve">Ky raport i përket vitit </w:t>
            </w:r>
            <w:r w:rsidR="005F7E55" w:rsidRPr="00760ECD">
              <w:rPr>
                <w:rFonts w:ascii="Times New Roman" w:hAnsi="Times New Roman" w:cs="Times New Roman"/>
                <w:sz w:val="24"/>
                <w:lang w:val="de-DE"/>
              </w:rPr>
              <w:t xml:space="preserve">referencë </w:t>
            </w:r>
            <w:r w:rsidRPr="00760ECD">
              <w:rPr>
                <w:rFonts w:ascii="Times New Roman" w:hAnsi="Times New Roman" w:cs="Times New Roman"/>
                <w:sz w:val="24"/>
                <w:lang w:val="de-DE"/>
              </w:rPr>
              <w:t>2020.</w:t>
            </w:r>
          </w:p>
        </w:tc>
      </w:tr>
      <w:tr w:rsidR="00343A0D" w:rsidRPr="00430D9B" w:rsidTr="00A112B8">
        <w:trPr>
          <w:trHeight w:val="567"/>
        </w:trPr>
        <w:tc>
          <w:tcPr>
            <w:tcW w:w="10682" w:type="dxa"/>
            <w:gridSpan w:val="2"/>
            <w:shd w:val="clear" w:color="auto" w:fill="FBD4B4" w:themeFill="accent6" w:themeFillTint="66"/>
            <w:noWrap/>
            <w:vAlign w:val="center"/>
            <w:hideMark/>
          </w:tcPr>
          <w:p w:rsidR="00343A0D" w:rsidRPr="00430D9B" w:rsidRDefault="00343A0D" w:rsidP="0023053A">
            <w:pPr>
              <w:pStyle w:val="Heading1"/>
              <w:spacing w:before="0"/>
              <w:rPr>
                <w:rFonts w:ascii="Times New Roman" w:eastAsia="Times New Roman" w:hAnsi="Times New Roman" w:cs="Times New Roman"/>
                <w:noProof/>
                <w:color w:val="000000"/>
                <w:sz w:val="24"/>
                <w:szCs w:val="24"/>
                <w:lang w:val="sq-AL" w:eastAsia="sq-AL"/>
              </w:rPr>
            </w:pPr>
            <w:bookmarkStart w:id="10" w:name="_Toc474418811"/>
            <w:bookmarkStart w:id="11" w:name="_Toc65224564"/>
            <w:r w:rsidRPr="00430D9B">
              <w:rPr>
                <w:rFonts w:ascii="Times New Roman" w:eastAsia="Times New Roman" w:hAnsi="Times New Roman" w:cs="Times New Roman"/>
                <w:noProof/>
                <w:color w:val="000000"/>
                <w:sz w:val="24"/>
                <w:szCs w:val="24"/>
                <w:lang w:val="sq-AL" w:eastAsia="sq-AL"/>
              </w:rPr>
              <w:t>6</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Mandati institucional</w:t>
            </w:r>
            <w:bookmarkEnd w:id="10"/>
            <w:bookmarkEnd w:id="11"/>
          </w:p>
        </w:tc>
      </w:tr>
      <w:tr w:rsidR="00E43898" w:rsidRPr="00430D9B" w:rsidTr="00EF2656">
        <w:trPr>
          <w:trHeight w:val="611"/>
        </w:trPr>
        <w:tc>
          <w:tcPr>
            <w:tcW w:w="2518" w:type="dxa"/>
            <w:shd w:val="clear" w:color="auto" w:fill="FFFFCC"/>
            <w:noWrap/>
            <w:vAlign w:val="center"/>
            <w:hideMark/>
          </w:tcPr>
          <w:p w:rsidR="00E43898" w:rsidRPr="00430D9B" w:rsidRDefault="00E43898"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6.1. Akte ligjore dhe marrëveshje të tjera</w:t>
            </w:r>
          </w:p>
        </w:tc>
        <w:tc>
          <w:tcPr>
            <w:tcW w:w="8164" w:type="dxa"/>
            <w:shd w:val="clear" w:color="auto" w:fill="auto"/>
            <w:vAlign w:val="center"/>
          </w:tcPr>
          <w:p w:rsidR="005C26EF" w:rsidRPr="0093731F" w:rsidRDefault="005C26EF" w:rsidP="005A5408">
            <w:pPr>
              <w:pStyle w:val="TableParagraph"/>
              <w:tabs>
                <w:tab w:val="left" w:pos="267"/>
              </w:tabs>
              <w:spacing w:before="240"/>
              <w:ind w:left="101" w:right="86"/>
              <w:jc w:val="both"/>
              <w:rPr>
                <w:sz w:val="24"/>
                <w:lang w:val="sq-AL"/>
              </w:rPr>
            </w:pPr>
            <w:r w:rsidRPr="0093731F">
              <w:rPr>
                <w:sz w:val="24"/>
                <w:lang w:val="sq-AL"/>
              </w:rPr>
              <w:t>Baza ligjore mbi të cilën u mbështetet bilanci i energjisë elektrike përbëhet nga:</w:t>
            </w:r>
          </w:p>
          <w:p w:rsidR="005C26EF" w:rsidRPr="0093731F" w:rsidRDefault="00855E54" w:rsidP="00841B6F">
            <w:pPr>
              <w:pStyle w:val="TableParagraph"/>
              <w:tabs>
                <w:tab w:val="left" w:pos="267"/>
                <w:tab w:val="left" w:pos="349"/>
              </w:tabs>
              <w:ind w:left="101" w:right="86"/>
              <w:jc w:val="both"/>
              <w:rPr>
                <w:rStyle w:val="Hyperlink"/>
                <w:sz w:val="24"/>
                <w:lang w:val="de-DE"/>
              </w:rPr>
            </w:pPr>
            <w:r w:rsidRPr="0093731F">
              <w:rPr>
                <w:sz w:val="24"/>
                <w:lang w:val="de-DE"/>
              </w:rPr>
              <w:t xml:space="preserve">1. </w:t>
            </w:r>
            <w:r w:rsidR="004670CF">
              <w:fldChar w:fldCharType="begin"/>
            </w:r>
            <w:r w:rsidR="004670CF" w:rsidRPr="0093731F">
              <w:rPr>
                <w:lang w:val="de-DE"/>
              </w:rPr>
              <w:instrText xml:space="preserve"> HYPERLINK "http://www.instat.gov.al/media/3973/ligj-nr-17-dt-542018_per-statistikat-zyrtare.pdf" </w:instrText>
            </w:r>
            <w:r w:rsidR="004670CF">
              <w:fldChar w:fldCharType="separate"/>
            </w:r>
            <w:r w:rsidR="005C26EF" w:rsidRPr="0093731F">
              <w:rPr>
                <w:rStyle w:val="Hyperlink"/>
                <w:lang w:val="de-DE"/>
              </w:rPr>
              <w:t xml:space="preserve">Ligji Nr. 17/2018 "Për statistikat </w:t>
            </w:r>
            <w:r w:rsidR="004670CF" w:rsidRPr="0093731F">
              <w:rPr>
                <w:rStyle w:val="Hyperlink"/>
                <w:lang w:val="de-DE"/>
              </w:rPr>
              <w:t>zyrtare"</w:t>
            </w:r>
          </w:p>
          <w:p w:rsidR="005C26EF" w:rsidRPr="0093731F" w:rsidRDefault="004670CF" w:rsidP="00841B6F">
            <w:pPr>
              <w:pStyle w:val="TableParagraph"/>
              <w:tabs>
                <w:tab w:val="left" w:pos="267"/>
                <w:tab w:val="left" w:pos="346"/>
              </w:tabs>
              <w:ind w:left="101" w:right="86"/>
              <w:jc w:val="both"/>
              <w:rPr>
                <w:rStyle w:val="Hyperlink"/>
                <w:sz w:val="24"/>
                <w:lang w:val="de-DE"/>
              </w:rPr>
            </w:pPr>
            <w:r>
              <w:fldChar w:fldCharType="end"/>
            </w:r>
            <w:r w:rsidR="00855E54" w:rsidRPr="0093731F">
              <w:rPr>
                <w:sz w:val="24"/>
                <w:lang w:val="de-DE"/>
              </w:rPr>
              <w:t xml:space="preserve">2. </w:t>
            </w:r>
            <w:r>
              <w:fldChar w:fldCharType="begin"/>
            </w:r>
            <w:r w:rsidRPr="0093731F">
              <w:rPr>
                <w:lang w:val="de-DE"/>
              </w:rPr>
              <w:instrText xml:space="preserve"> HYPERLINK "http://www.instat.gov.al/al/rreth-nesh/ne-jemi-instat/programi-kombetar-i-statistikave-zyrtare/" </w:instrText>
            </w:r>
            <w:r>
              <w:fldChar w:fldCharType="separate"/>
            </w:r>
            <w:r w:rsidR="005C26EF" w:rsidRPr="0093731F">
              <w:rPr>
                <w:rStyle w:val="Hyperlink"/>
                <w:sz w:val="24"/>
                <w:szCs w:val="24"/>
                <w:lang w:val="de-DE"/>
              </w:rPr>
              <w:t>Programi i Statistikave Zyrtare për periudhën 2017-2021</w:t>
            </w:r>
          </w:p>
          <w:p w:rsidR="005C26EF" w:rsidRPr="0093731F" w:rsidRDefault="004670CF" w:rsidP="005930F1">
            <w:pPr>
              <w:pStyle w:val="TableParagraph"/>
              <w:tabs>
                <w:tab w:val="left" w:pos="267"/>
                <w:tab w:val="left" w:pos="413"/>
              </w:tabs>
              <w:ind w:left="375" w:right="86" w:hanging="274"/>
              <w:jc w:val="both"/>
              <w:rPr>
                <w:sz w:val="24"/>
                <w:lang w:val="de-DE"/>
              </w:rPr>
            </w:pPr>
            <w:r>
              <w:fldChar w:fldCharType="end"/>
            </w:r>
            <w:r w:rsidR="00855E54" w:rsidRPr="0093731F">
              <w:rPr>
                <w:sz w:val="24"/>
                <w:lang w:val="de-DE"/>
              </w:rPr>
              <w:t xml:space="preserve">3. </w:t>
            </w:r>
            <w:r w:rsidR="005C26EF" w:rsidRPr="0093731F">
              <w:rPr>
                <w:rFonts w:eastAsiaTheme="minorEastAsia"/>
                <w:sz w:val="24"/>
                <w:szCs w:val="24"/>
                <w:lang w:val="de-DE" w:bidi="ar-SA"/>
              </w:rPr>
              <w:t>Vendimet e Këshillit të Statistikave. Duke qenë se, sipas ligjit të statistikave zyrtare, roli i këtij organi është të mbikëqyrë, mbështesë dhe të marrë vendime në ndihmë të INSTAT-it dhe agjencive të tjera statistikore për të siguruar</w:t>
            </w:r>
            <w:r w:rsidR="005C26EF" w:rsidRPr="0093731F">
              <w:rPr>
                <w:sz w:val="24"/>
                <w:lang w:val="de-DE"/>
              </w:rPr>
              <w:t xml:space="preserve"> hartimin dhe zbatimin e Programit të Statistikave Zyrtare, aktet e miratuara nga ky organ janë të rëndësishme për ecurinë e zbatimit të aktiviteteve statistikor si dhe monitorimin e performancës së institucioneve përbërëse të sistemit kombëtar </w:t>
            </w:r>
            <w:r w:rsidRPr="0093731F">
              <w:rPr>
                <w:sz w:val="24"/>
                <w:lang w:val="de-DE"/>
              </w:rPr>
              <w:t>statistikor.</w:t>
            </w:r>
          </w:p>
          <w:p w:rsidR="00E43898" w:rsidRPr="00AF0A24" w:rsidRDefault="00855E54" w:rsidP="00CD005A">
            <w:pPr>
              <w:pStyle w:val="TableParagraph"/>
              <w:tabs>
                <w:tab w:val="left" w:pos="267"/>
                <w:tab w:val="left" w:pos="413"/>
              </w:tabs>
              <w:spacing w:after="240"/>
              <w:ind w:left="101" w:right="86"/>
              <w:jc w:val="both"/>
              <w:rPr>
                <w:sz w:val="24"/>
              </w:rPr>
            </w:pPr>
            <w:r>
              <w:rPr>
                <w:sz w:val="24"/>
              </w:rPr>
              <w:t xml:space="preserve">4. </w:t>
            </w:r>
            <w:r w:rsidR="005C26EF" w:rsidRPr="00AF0A24">
              <w:rPr>
                <w:sz w:val="24"/>
              </w:rPr>
              <w:t>Memorandumet e bashkëpunimit të hartuara me institucionet e</w:t>
            </w:r>
            <w:r w:rsidR="005C26EF" w:rsidRPr="004670CF">
              <w:rPr>
                <w:sz w:val="24"/>
              </w:rPr>
              <w:t xml:space="preserve"> </w:t>
            </w:r>
            <w:r w:rsidR="005C26EF" w:rsidRPr="00AF0A24">
              <w:rPr>
                <w:sz w:val="24"/>
              </w:rPr>
              <w:t>tjera.</w:t>
            </w:r>
          </w:p>
        </w:tc>
      </w:tr>
      <w:tr w:rsidR="00BD6D4E" w:rsidRPr="0093731F" w:rsidTr="00EF2656">
        <w:trPr>
          <w:trHeight w:val="1646"/>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6.2. Shkëmbimi i të dhënave</w:t>
            </w:r>
          </w:p>
        </w:tc>
        <w:tc>
          <w:tcPr>
            <w:tcW w:w="8164" w:type="dxa"/>
            <w:shd w:val="clear" w:color="auto" w:fill="auto"/>
            <w:noWrap/>
            <w:vAlign w:val="center"/>
          </w:tcPr>
          <w:p w:rsidR="004670CF" w:rsidRPr="0093731F" w:rsidRDefault="005C26EF" w:rsidP="005930F1">
            <w:pPr>
              <w:pStyle w:val="TableParagraph"/>
              <w:spacing w:before="240"/>
              <w:ind w:left="101" w:right="86"/>
              <w:jc w:val="both"/>
              <w:rPr>
                <w:sz w:val="24"/>
                <w:lang w:val="sq-AL"/>
              </w:rPr>
            </w:pPr>
            <w:r w:rsidRPr="0093731F">
              <w:rPr>
                <w:sz w:val="24"/>
                <w:lang w:val="sq-AL"/>
              </w:rPr>
              <w:t>Statistikat e energjisë elektrike transmetohen në EUROSTAT si pjesë e bilancit të përgjithshëm të energjisë së përpiluar nga Agjencia Kombëtare e Burimeve Natyrore (AKBN).</w:t>
            </w:r>
          </w:p>
          <w:p w:rsidR="00BD6D4E" w:rsidRPr="0093731F" w:rsidRDefault="005C26EF" w:rsidP="00AD0254">
            <w:pPr>
              <w:pStyle w:val="TableParagraph"/>
              <w:spacing w:after="240"/>
              <w:ind w:left="101" w:right="86"/>
              <w:jc w:val="both"/>
              <w:rPr>
                <w:sz w:val="24"/>
                <w:lang w:val="sq-AL"/>
              </w:rPr>
            </w:pPr>
            <w:r w:rsidRPr="0093731F">
              <w:rPr>
                <w:sz w:val="24"/>
                <w:lang w:val="sq-AL"/>
              </w:rPr>
              <w:t xml:space="preserve">Aktualisht INSTAT </w:t>
            </w:r>
            <w:r w:rsidR="00AD0254">
              <w:rPr>
                <w:sz w:val="24"/>
                <w:lang w:val="sq-AL"/>
              </w:rPr>
              <w:t xml:space="preserve">i dërgon disa nga treguesit kryesorë Komisionit Evropian si edhe </w:t>
            </w:r>
            <w:r w:rsidRPr="0093731F">
              <w:rPr>
                <w:sz w:val="24"/>
                <w:lang w:val="sq-AL"/>
              </w:rPr>
              <w:t>plotëson një sërë pyetësorësh të organizmave ndërkombëtare në lidhje me statistikat e energjisë elektrike vjetore në</w:t>
            </w:r>
            <w:r w:rsidR="00F42D46" w:rsidRPr="0093731F">
              <w:rPr>
                <w:sz w:val="24"/>
                <w:lang w:val="sq-AL"/>
              </w:rPr>
              <w:t xml:space="preserve"> </w:t>
            </w:r>
            <w:r w:rsidRPr="0093731F">
              <w:rPr>
                <w:sz w:val="24"/>
                <w:lang w:val="sq-AL"/>
              </w:rPr>
              <w:t>vend.</w:t>
            </w:r>
          </w:p>
        </w:tc>
      </w:tr>
      <w:tr w:rsidR="00BD6D4E" w:rsidRPr="00430D9B" w:rsidTr="00A112B8">
        <w:trPr>
          <w:trHeight w:val="567"/>
        </w:trPr>
        <w:tc>
          <w:tcPr>
            <w:tcW w:w="10682" w:type="dxa"/>
            <w:gridSpan w:val="2"/>
            <w:shd w:val="clear" w:color="auto" w:fill="FBD4B4" w:themeFill="accent6" w:themeFillTint="66"/>
            <w:noWrap/>
            <w:vAlign w:val="center"/>
            <w:hideMark/>
          </w:tcPr>
          <w:p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474418812"/>
            <w:bookmarkStart w:id="13" w:name="_Toc65224565"/>
            <w:r w:rsidRPr="00430D9B">
              <w:rPr>
                <w:rFonts w:ascii="Times New Roman" w:eastAsia="Times New Roman" w:hAnsi="Times New Roman" w:cs="Times New Roman"/>
                <w:noProof/>
                <w:color w:val="000000"/>
                <w:sz w:val="24"/>
                <w:szCs w:val="24"/>
                <w:lang w:val="sq-AL" w:eastAsia="sq-AL"/>
              </w:rPr>
              <w:t>7</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Konfidencialiteti</w:t>
            </w:r>
            <w:bookmarkEnd w:id="12"/>
            <w:bookmarkEnd w:id="13"/>
          </w:p>
        </w:tc>
      </w:tr>
      <w:tr w:rsidR="00BD6D4E" w:rsidRPr="0093731F" w:rsidTr="005A5408">
        <w:trPr>
          <w:trHeight w:val="2213"/>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7.1. Konfidencialiteti - politika </w:t>
            </w:r>
          </w:p>
        </w:tc>
        <w:tc>
          <w:tcPr>
            <w:tcW w:w="8164" w:type="dxa"/>
            <w:shd w:val="clear" w:color="auto" w:fill="auto"/>
            <w:vAlign w:val="center"/>
          </w:tcPr>
          <w:p w:rsidR="00BD6D4E" w:rsidRPr="005A5408" w:rsidRDefault="005C26EF" w:rsidP="005A5408">
            <w:pPr>
              <w:pStyle w:val="TableParagraph"/>
              <w:spacing w:before="200" w:after="200"/>
              <w:ind w:left="101" w:right="86"/>
              <w:jc w:val="both"/>
              <w:rPr>
                <w:color w:val="0000FF"/>
                <w:sz w:val="24"/>
                <w:u w:val="single"/>
                <w:lang w:val="sq-AL"/>
              </w:rPr>
            </w:pPr>
            <w:r w:rsidRPr="0093731F">
              <w:rPr>
                <w:sz w:val="24"/>
                <w:lang w:val="sq-AL"/>
              </w:rPr>
              <w:t xml:space="preserve">Të dhënat e mbledhura nga operatorët e energjisë elektrike konsiderohen si rreptësisht konfidenciale dhe përdoren vetëm për qëllime statistikore e kërkime shkencore në përputhje me </w:t>
            </w:r>
            <w:hyperlink r:id="rId10" w:history="1">
              <w:r w:rsidRPr="0093731F">
                <w:rPr>
                  <w:rStyle w:val="Hyperlink"/>
                  <w:sz w:val="24"/>
                  <w:lang w:val="sq-AL"/>
                </w:rPr>
                <w:t>Ligjin Nr. 17/2018 "Për statistikat zyrtare",</w:t>
              </w:r>
            </w:hyperlink>
            <w:r w:rsidRPr="0093731F">
              <w:rPr>
                <w:sz w:val="24"/>
                <w:lang w:val="sq-AL"/>
              </w:rPr>
              <w:t xml:space="preserve"> si dhe </w:t>
            </w:r>
            <w:hyperlink r:id="rId11" w:history="1">
              <w:r w:rsidRPr="00C451A7">
                <w:rPr>
                  <w:rStyle w:val="Hyperlink"/>
                  <w:sz w:val="24"/>
                  <w:lang w:val="sq-AL"/>
                </w:rPr>
                <w:t>Ligjin Nr. 9887, datë 10.03.2008 "Mbrojtja e të Dhënave Personale".</w:t>
              </w:r>
            </w:hyperlink>
            <w:r w:rsidR="005930F1" w:rsidRPr="005A5408">
              <w:rPr>
                <w:rStyle w:val="Hyperlink"/>
                <w:sz w:val="24"/>
                <w:u w:val="none"/>
                <w:lang w:val="sq-AL"/>
              </w:rPr>
              <w:t xml:space="preserve"> </w:t>
            </w:r>
            <w:r w:rsidRPr="0093731F">
              <w:rPr>
                <w:sz w:val="24"/>
                <w:szCs w:val="24"/>
                <w:lang w:val="sq-AL"/>
              </w:rPr>
              <w:t>Neni 31 i ligjit për statistikat zyrtare përcakton qartë që i gjithë informacioni statistikor i mbledhur nga INSTAT është konfidencial dhe mund të përdoret ose botohet vetëm në tabela përmbledhëse të tilla që nuk identifikojnë njësinë burim të informacionit.</w:t>
            </w:r>
          </w:p>
        </w:tc>
      </w:tr>
      <w:tr w:rsidR="00BD6D4E" w:rsidRPr="0093731F" w:rsidTr="00EF2656">
        <w:trPr>
          <w:trHeight w:val="6821"/>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7.2. Konfidencialiteti - trajtimi i të dhënave</w:t>
            </w:r>
          </w:p>
        </w:tc>
        <w:tc>
          <w:tcPr>
            <w:tcW w:w="8164" w:type="dxa"/>
            <w:shd w:val="clear" w:color="auto" w:fill="auto"/>
            <w:vAlign w:val="center"/>
          </w:tcPr>
          <w:p w:rsidR="00C07CED" w:rsidRPr="0093731F" w:rsidRDefault="00C07CED" w:rsidP="00760ECD">
            <w:pPr>
              <w:spacing w:before="200" w:line="240" w:lineRule="auto"/>
              <w:ind w:left="101" w:right="86"/>
              <w:jc w:val="both"/>
              <w:rPr>
                <w:lang w:val="sq-AL"/>
              </w:rPr>
            </w:pPr>
            <w:r>
              <w:rPr>
                <w:rFonts w:ascii="Times New Roman" w:hAnsi="Times New Roman" w:cs="Times New Roman"/>
                <w:color w:val="000000"/>
                <w:sz w:val="24"/>
                <w:szCs w:val="24"/>
                <w:lang w:val="sq-AL" w:eastAsia="sq-AL"/>
              </w:rPr>
              <w:t xml:space="preserve">INSTAT mbron dhe nuk shpërndan të dhënat që ka mbledhur ose që ka akses, të cilat mundësojnë identifikimin e drejtpërdrejtë ose të tërthortë të njësive statistikore. INSTAT ndërmerr të gjitha masat e duhura për të parandaluar dhe bërë të pamundur identifikimin e njësive statistikore përmes mjeteve teknike të tjera që mund të përdoren nga palët e treta. Të dhënat statistikore që mund të bëjnë të mundur identifikimin e njësisë statistikore, shpërndahen nga INSTAT </w:t>
            </w:r>
            <w:r w:rsidRPr="00525746">
              <w:rPr>
                <w:rFonts w:ascii="Times New Roman" w:hAnsi="Times New Roman" w:cs="Times New Roman"/>
                <w:color w:val="000000"/>
                <w:sz w:val="24"/>
                <w:szCs w:val="24"/>
                <w:lang w:val="sq-AL" w:eastAsia="sq-AL"/>
              </w:rPr>
              <w:t xml:space="preserve">vetëm në rast se: </w:t>
            </w:r>
          </w:p>
          <w:p w:rsidR="00C07CED" w:rsidRPr="0093731F" w:rsidRDefault="00C07CED" w:rsidP="00760ECD">
            <w:pPr>
              <w:spacing w:before="200" w:line="240" w:lineRule="auto"/>
              <w:ind w:left="101" w:right="86"/>
              <w:jc w:val="both"/>
              <w:rPr>
                <w:lang w:val="sq-AL"/>
              </w:rPr>
            </w:pPr>
            <w:r w:rsidRPr="00525746">
              <w:rPr>
                <w:rFonts w:ascii="Times New Roman" w:hAnsi="Times New Roman" w:cs="Times New Roman"/>
                <w:color w:val="000000"/>
                <w:sz w:val="24"/>
                <w:szCs w:val="24"/>
                <w:lang w:val="sq-AL" w:eastAsia="sq-AL"/>
              </w:rPr>
              <w:t xml:space="preserve">a) Këto të dhëna janë trajtuar, siç është përcaktuar në mënyrë të veçantë në Rregullore, këto të dhëna janë trajtuar në mënyrë të atillë, sa nuk krijon paragjykim në lidhje me konfidencialitetin statistikor; ose </w:t>
            </w:r>
          </w:p>
          <w:p w:rsidR="00C07CED" w:rsidRPr="0093731F" w:rsidRDefault="00C07CED" w:rsidP="00760ECD">
            <w:pPr>
              <w:spacing w:before="200" w:line="240" w:lineRule="auto"/>
              <w:ind w:left="101" w:right="86"/>
              <w:jc w:val="both"/>
              <w:rPr>
                <w:lang w:val="sq-AL"/>
              </w:rPr>
            </w:pPr>
            <w:r w:rsidRPr="00525746">
              <w:rPr>
                <w:rFonts w:ascii="Times New Roman" w:hAnsi="Times New Roman" w:cs="Times New Roman"/>
                <w:color w:val="000000"/>
                <w:sz w:val="24"/>
                <w:szCs w:val="24"/>
                <w:lang w:val="sq-AL" w:eastAsia="sq-AL"/>
              </w:rPr>
              <w:t>b) Njësia statistikore ka dhënë miratimin  përkatës për bërjen publike të të dhënave;</w:t>
            </w:r>
            <w:r>
              <w:rPr>
                <w:rFonts w:ascii="Times New Roman" w:hAnsi="Times New Roman" w:cs="Times New Roman"/>
                <w:color w:val="000000"/>
                <w:sz w:val="24"/>
                <w:szCs w:val="24"/>
                <w:lang w:val="sq-AL" w:eastAsia="sq-AL"/>
              </w:rPr>
              <w:t xml:space="preserve"> </w:t>
            </w:r>
          </w:p>
          <w:p w:rsidR="00C07CED" w:rsidRPr="0093731F" w:rsidRDefault="00C07CED" w:rsidP="00C07CED">
            <w:pPr>
              <w:spacing w:before="240" w:after="240" w:line="240" w:lineRule="auto"/>
              <w:ind w:left="101" w:right="86"/>
              <w:jc w:val="both"/>
              <w:rPr>
                <w:lang w:val="sq-AL"/>
              </w:rPr>
            </w:pPr>
            <w:r>
              <w:rPr>
                <w:rFonts w:ascii="Times New Roman" w:hAnsi="Times New Roman" w:cs="Times New Roman"/>
                <w:color w:val="000000"/>
                <w:sz w:val="24"/>
                <w:szCs w:val="24"/>
                <w:lang w:val="sq-AL" w:eastAsia="sq-AL"/>
              </w:rPr>
              <w:t>Të dhënat konfidenciale i përcillen INSTAT-it vetëm për qëllime statistikore dhe vetëm personat që kanë të drejtë aksesi tek to, mund të punojnë me to. Çështjet dhe problemet në lidhje me ruajtjen e konfidencialitetit statistikor verifikohen dhe trajtohen nga stafi i INSTAT. Përgjegjësitë e këtij stafi, janë të përcaktojë shkallën e detajeve që mund të shpërndahet dhe të bëhet publike nga INSTAT. Përgjegjësitë e këtij stafi janë të rekomandojë se: në cilin nivel detajimi mund të shpërndahen të dhënat statistikore, në mënyrë që identifikimi i drejtpërdrejtë ose indirekt, i njësisë statistikore të vrojtuar të mos jetë i mundur; kriteret e anonimizimit për mikrodatat që u janë dhënë përdoruesve; dhënia e hyrjes për hulumtuesit në të dhëna konfidenciale për qëllime shkencore.</w:t>
            </w:r>
          </w:p>
        </w:tc>
      </w:tr>
      <w:tr w:rsidR="00BD6D4E" w:rsidRPr="00430D9B" w:rsidTr="0059361C">
        <w:trPr>
          <w:trHeight w:val="611"/>
        </w:trPr>
        <w:tc>
          <w:tcPr>
            <w:tcW w:w="10682" w:type="dxa"/>
            <w:gridSpan w:val="2"/>
            <w:shd w:val="clear" w:color="auto" w:fill="FBD4B4" w:themeFill="accent6" w:themeFillTint="66"/>
            <w:noWrap/>
            <w:vAlign w:val="center"/>
            <w:hideMark/>
          </w:tcPr>
          <w:p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14" w:name="_Toc474418813"/>
            <w:bookmarkStart w:id="15" w:name="_Toc65224566"/>
            <w:r w:rsidRPr="00430D9B">
              <w:rPr>
                <w:rFonts w:ascii="Times New Roman" w:eastAsia="Times New Roman" w:hAnsi="Times New Roman" w:cs="Times New Roman"/>
                <w:noProof/>
                <w:color w:val="000000"/>
                <w:sz w:val="24"/>
                <w:szCs w:val="24"/>
                <w:lang w:val="sq-AL" w:eastAsia="sq-AL"/>
              </w:rPr>
              <w:t>8</w:t>
            </w:r>
            <w:r w:rsidRPr="00430D9B">
              <w:rPr>
                <w:rFonts w:ascii="Times New Roman" w:eastAsia="Times New Roman" w:hAnsi="Times New Roman" w:cs="Times New Roman"/>
                <w:b w:val="0"/>
                <w:bCs w:val="0"/>
                <w:noProof/>
                <w:color w:val="000000"/>
                <w:sz w:val="24"/>
                <w:szCs w:val="24"/>
                <w:lang w:val="sq-AL" w:eastAsia="sq-AL"/>
              </w:rPr>
              <w:t>.</w:t>
            </w:r>
            <w:r w:rsidRPr="00430D9B">
              <w:rPr>
                <w:rFonts w:ascii="Times New Roman" w:eastAsia="Times New Roman" w:hAnsi="Times New Roman" w:cs="Times New Roman"/>
                <w:noProof/>
                <w:color w:val="000000" w:themeColor="text1"/>
                <w:sz w:val="24"/>
                <w:szCs w:val="24"/>
                <w:lang w:val="sq-AL" w:eastAsia="sq-AL"/>
              </w:rPr>
              <w:t xml:space="preserve"> Politika e botimit</w:t>
            </w:r>
            <w:bookmarkEnd w:id="14"/>
            <w:bookmarkEnd w:id="15"/>
          </w:p>
        </w:tc>
      </w:tr>
      <w:tr w:rsidR="00BD6D4E" w:rsidRPr="0093731F" w:rsidTr="00AE2F82">
        <w:trPr>
          <w:trHeight w:val="341"/>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8.1. Kalendari i publikimeve</w:t>
            </w:r>
          </w:p>
        </w:tc>
        <w:tc>
          <w:tcPr>
            <w:tcW w:w="8164" w:type="dxa"/>
            <w:shd w:val="clear" w:color="auto" w:fill="auto"/>
            <w:vAlign w:val="center"/>
          </w:tcPr>
          <w:p w:rsidR="007D023C" w:rsidRPr="0093731F" w:rsidRDefault="007D023C" w:rsidP="00A16436">
            <w:pPr>
              <w:pStyle w:val="TableParagraph"/>
              <w:spacing w:before="240" w:after="240"/>
              <w:ind w:left="101" w:right="86"/>
              <w:jc w:val="both"/>
              <w:rPr>
                <w:sz w:val="24"/>
                <w:szCs w:val="24"/>
                <w:highlight w:val="yellow"/>
                <w:lang w:val="sq-AL"/>
              </w:rPr>
            </w:pPr>
            <w:r w:rsidRPr="0093731F">
              <w:rPr>
                <w:sz w:val="24"/>
                <w:szCs w:val="24"/>
                <w:lang w:val="sq-AL"/>
              </w:rPr>
              <w:t>Njoftimet në lidhje me shpërndarjen e statistikave janë botuar në kalendarin e publikimit, i cili është në dispozicion në faqen e internetit. Njoftime dhe vonesat janë para-njoftuar në këtë kalendarin. Në rastin e vonesave specifikohet data e publikimit të ardhshëm si dhe shpjegimi lidhur me arsyet e vonesave.</w:t>
            </w:r>
          </w:p>
        </w:tc>
      </w:tr>
      <w:tr w:rsidR="00BD6D4E" w:rsidRPr="0093731F" w:rsidTr="002A55BC">
        <w:trPr>
          <w:trHeight w:val="791"/>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8.2. Aksesi në kalendarin e publikimeve</w:t>
            </w:r>
          </w:p>
        </w:tc>
        <w:tc>
          <w:tcPr>
            <w:tcW w:w="8164" w:type="dxa"/>
            <w:shd w:val="clear" w:color="auto" w:fill="auto"/>
            <w:vAlign w:val="center"/>
          </w:tcPr>
          <w:p w:rsidR="00317E7C" w:rsidRPr="0093731F" w:rsidRDefault="00807C82" w:rsidP="005A5408">
            <w:pPr>
              <w:pStyle w:val="NormalWeb"/>
              <w:spacing w:before="200" w:beforeAutospacing="0" w:after="200" w:afterAutospacing="0"/>
              <w:ind w:left="101" w:right="86"/>
              <w:jc w:val="both"/>
              <w:rPr>
                <w:lang w:val="de-DE"/>
              </w:rPr>
            </w:pPr>
            <w:hyperlink r:id="rId12" w:history="1">
              <w:r w:rsidR="00D376BF" w:rsidRPr="00302C73">
                <w:rPr>
                  <w:rStyle w:val="Hyperlink"/>
                  <w:lang w:val="sq-AL"/>
                </w:rPr>
                <w:t>Kalendari i Publikimeve</w:t>
              </w:r>
            </w:hyperlink>
            <w:r w:rsidR="00D376BF" w:rsidRPr="00302C73">
              <w:rPr>
                <w:lang w:val="sq-AL"/>
              </w:rPr>
              <w:t xml:space="preserve"> është në dispozicion në faqen e internetit të </w:t>
            </w:r>
            <w:r w:rsidR="00D376BF">
              <w:rPr>
                <w:lang w:val="sq-AL"/>
              </w:rPr>
              <w:t>INSTAT.</w:t>
            </w:r>
          </w:p>
        </w:tc>
      </w:tr>
      <w:tr w:rsidR="00BD6D4E" w:rsidRPr="00430D9B" w:rsidTr="00292FD9">
        <w:trPr>
          <w:trHeight w:val="3653"/>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8.3. Aksesi i përdoruesve</w:t>
            </w:r>
          </w:p>
        </w:tc>
        <w:tc>
          <w:tcPr>
            <w:tcW w:w="8164" w:type="dxa"/>
            <w:shd w:val="clear" w:color="auto" w:fill="auto"/>
            <w:vAlign w:val="center"/>
          </w:tcPr>
          <w:p w:rsidR="005840B6" w:rsidRPr="0093731F" w:rsidRDefault="005840B6" w:rsidP="005930F1">
            <w:pPr>
              <w:spacing w:before="240" w:after="0" w:line="240" w:lineRule="auto"/>
              <w:ind w:left="101" w:right="86"/>
              <w:jc w:val="both"/>
              <w:rPr>
                <w:rFonts w:ascii="Times New Roman" w:hAnsi="Times New Roman" w:cs="Times New Roman"/>
                <w:sz w:val="24"/>
                <w:szCs w:val="24"/>
                <w:lang w:val="sq-AL"/>
              </w:rPr>
            </w:pPr>
            <w:r w:rsidRPr="0093731F">
              <w:rPr>
                <w:rFonts w:ascii="Times New Roman" w:hAnsi="Times New Roman" w:cs="Times New Roman"/>
                <w:sz w:val="24"/>
                <w:szCs w:val="24"/>
                <w:lang w:val="sq-AL"/>
              </w:rPr>
              <w:t xml:space="preserve">Në përputhje me nenin 34 të Ligji Nr. 17/2018 për Statistikat Zyrtare, statistikat zyrtare shpërndahen në mënyrë që të gjithë përdoruesit të kenë të drejtë të menjëhershme dhe të barabartë, përdoren të gjitha format e mundshme të medias, INSTAT-i dhe agjencitë statistikore, duke pasur në program përgjegjësitë për shpërndarjen, kërkojnë të përmbushin çdo kërkesë të çdo organizate ose individi, për të dhëna të pabotuara ose analiza të veçanta. Kanalet nga të cilat përdoruesit mund të marrin rezultatet </w:t>
            </w:r>
            <w:r w:rsidR="00CF0E5F">
              <w:rPr>
                <w:rFonts w:ascii="Times New Roman" w:hAnsi="Times New Roman" w:cs="Times New Roman"/>
                <w:sz w:val="24"/>
                <w:szCs w:val="24"/>
                <w:lang w:val="sq-AL"/>
              </w:rPr>
              <w:t>e Bilancit t</w:t>
            </w:r>
            <w:r w:rsidR="00CF0E5F" w:rsidRPr="0093731F">
              <w:rPr>
                <w:rFonts w:ascii="Times New Roman" w:hAnsi="Times New Roman" w:cs="Times New Roman"/>
                <w:sz w:val="24"/>
                <w:szCs w:val="24"/>
                <w:lang w:val="sq-AL"/>
              </w:rPr>
              <w:t>ë</w:t>
            </w:r>
            <w:r w:rsidR="00CF0E5F">
              <w:rPr>
                <w:rFonts w:ascii="Times New Roman" w:hAnsi="Times New Roman" w:cs="Times New Roman"/>
                <w:sz w:val="24"/>
                <w:szCs w:val="24"/>
                <w:lang w:val="sq-AL"/>
              </w:rPr>
              <w:t xml:space="preserve"> Energjis</w:t>
            </w:r>
            <w:r w:rsidR="00CF0E5F" w:rsidRPr="0093731F">
              <w:rPr>
                <w:rFonts w:ascii="Times New Roman" w:hAnsi="Times New Roman" w:cs="Times New Roman"/>
                <w:sz w:val="24"/>
                <w:szCs w:val="24"/>
                <w:lang w:val="sq-AL"/>
              </w:rPr>
              <w:t>ë</w:t>
            </w:r>
            <w:r w:rsidR="00CF0E5F">
              <w:rPr>
                <w:rFonts w:ascii="Times New Roman" w:hAnsi="Times New Roman" w:cs="Times New Roman"/>
                <w:sz w:val="24"/>
                <w:szCs w:val="24"/>
                <w:lang w:val="sq-AL"/>
              </w:rPr>
              <w:t xml:space="preserve"> </w:t>
            </w:r>
            <w:r w:rsidRPr="0093731F">
              <w:rPr>
                <w:rFonts w:ascii="Times New Roman" w:hAnsi="Times New Roman" w:cs="Times New Roman"/>
                <w:sz w:val="24"/>
                <w:szCs w:val="24"/>
                <w:lang w:val="sq-AL"/>
              </w:rPr>
              <w:t xml:space="preserve">janë si më poshtë: </w:t>
            </w:r>
          </w:p>
          <w:p w:rsidR="005840B6" w:rsidRDefault="005840B6" w:rsidP="005930F1">
            <w:pPr>
              <w:spacing w:after="0" w:line="240" w:lineRule="auto"/>
              <w:ind w:left="101" w:right="86"/>
              <w:jc w:val="both"/>
              <w:rPr>
                <w:rFonts w:ascii="Times New Roman" w:hAnsi="Times New Roman" w:cs="Times New Roman"/>
                <w:sz w:val="24"/>
                <w:szCs w:val="24"/>
              </w:rPr>
            </w:pPr>
            <w:r>
              <w:rPr>
                <w:rFonts w:ascii="Times New Roman" w:hAnsi="Times New Roman" w:cs="Times New Roman"/>
                <w:sz w:val="24"/>
                <w:szCs w:val="24"/>
              </w:rPr>
              <w:t>1. Website – online release</w:t>
            </w:r>
          </w:p>
          <w:p w:rsidR="005840B6" w:rsidRPr="00A1721F" w:rsidRDefault="005840B6" w:rsidP="005930F1">
            <w:pPr>
              <w:spacing w:after="0" w:line="240" w:lineRule="auto"/>
              <w:ind w:left="101" w:right="86"/>
              <w:jc w:val="both"/>
              <w:rPr>
                <w:rFonts w:ascii="Times New Roman" w:hAnsi="Times New Roman" w:cs="Times New Roman"/>
                <w:sz w:val="24"/>
                <w:szCs w:val="24"/>
              </w:rPr>
            </w:pPr>
            <w:r w:rsidRPr="00626614">
              <w:rPr>
                <w:rFonts w:ascii="Times New Roman" w:hAnsi="Times New Roman" w:cs="Times New Roman"/>
                <w:sz w:val="24"/>
                <w:szCs w:val="24"/>
              </w:rPr>
              <w:t xml:space="preserve">2. </w:t>
            </w:r>
            <w:r w:rsidRPr="00A1721F">
              <w:rPr>
                <w:rFonts w:ascii="Times New Roman" w:hAnsi="Times New Roman" w:cs="Times New Roman"/>
                <w:sz w:val="24"/>
                <w:szCs w:val="24"/>
              </w:rPr>
              <w:t xml:space="preserve">Kërkesat e shkruara </w:t>
            </w:r>
            <w:r w:rsidRPr="00A1721F">
              <w:rPr>
                <w:rFonts w:ascii="Times New Roman" w:hAnsi="Times New Roman" w:cs="Times New Roman"/>
                <w:color w:val="000000"/>
                <w:sz w:val="24"/>
                <w:szCs w:val="24"/>
                <w:lang w:eastAsia="en-GB"/>
              </w:rPr>
              <w:t xml:space="preserve">(me postë ose </w:t>
            </w:r>
            <w:hyperlink r:id="rId13" w:history="1">
              <w:r w:rsidRPr="00A1721F">
                <w:rPr>
                  <w:rStyle w:val="Hyperlink"/>
                  <w:rFonts w:ascii="Times New Roman" w:hAnsi="Times New Roman" w:cs="Times New Roman"/>
                  <w:sz w:val="24"/>
                  <w:szCs w:val="24"/>
                  <w:lang w:eastAsia="en-GB"/>
                </w:rPr>
                <w:t>email</w:t>
              </w:r>
            </w:hyperlink>
            <w:r w:rsidRPr="00A1721F">
              <w:rPr>
                <w:rFonts w:ascii="Times New Roman" w:hAnsi="Times New Roman" w:cs="Times New Roman"/>
                <w:color w:val="000000"/>
                <w:sz w:val="24"/>
                <w:szCs w:val="24"/>
                <w:lang w:eastAsia="en-GB"/>
              </w:rPr>
              <w:t>);</w:t>
            </w:r>
          </w:p>
          <w:p w:rsidR="005840B6" w:rsidRDefault="00465E4D" w:rsidP="005930F1">
            <w:pPr>
              <w:spacing w:after="0" w:line="240" w:lineRule="auto"/>
              <w:ind w:left="101" w:right="86"/>
              <w:jc w:val="both"/>
              <w:rPr>
                <w:rFonts w:ascii="Times New Roman" w:hAnsi="Times New Roman" w:cs="Times New Roman"/>
                <w:sz w:val="24"/>
                <w:szCs w:val="24"/>
              </w:rPr>
            </w:pPr>
            <w:r>
              <w:rPr>
                <w:rFonts w:ascii="Times New Roman" w:hAnsi="Times New Roman" w:cs="Times New Roman"/>
                <w:sz w:val="24"/>
                <w:szCs w:val="24"/>
              </w:rPr>
              <w:t>3. Publikimet</w:t>
            </w:r>
            <w:r w:rsidR="00C9764C">
              <w:rPr>
                <w:rFonts w:ascii="Times New Roman" w:hAnsi="Times New Roman" w:cs="Times New Roman"/>
                <w:sz w:val="24"/>
                <w:szCs w:val="24"/>
              </w:rPr>
              <w:t xml:space="preserve"> </w:t>
            </w:r>
            <w:bookmarkStart w:id="16" w:name="_GoBack"/>
            <w:bookmarkEnd w:id="16"/>
          </w:p>
          <w:p w:rsidR="00BD6D4E" w:rsidRPr="00F42D46" w:rsidRDefault="005840B6" w:rsidP="005930F1">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626614">
              <w:rPr>
                <w:rFonts w:ascii="Times New Roman" w:hAnsi="Times New Roman" w:cs="Times New Roman"/>
                <w:sz w:val="24"/>
                <w:szCs w:val="24"/>
              </w:rPr>
              <w:t xml:space="preserve">4. </w:t>
            </w:r>
            <w:r w:rsidRPr="001C7200">
              <w:rPr>
                <w:rFonts w:ascii="Times New Roman" w:hAnsi="Times New Roman" w:cs="Times New Roman"/>
                <w:color w:val="000000"/>
                <w:sz w:val="24"/>
                <w:szCs w:val="24"/>
                <w:lang w:val="en-GB" w:eastAsia="en-GB"/>
              </w:rPr>
              <w:t xml:space="preserve">Seksioni </w:t>
            </w:r>
            <w:hyperlink r:id="rId14" w:history="1">
              <w:r w:rsidRPr="001C7200">
                <w:rPr>
                  <w:rStyle w:val="Hyperlink"/>
                  <w:rFonts w:ascii="Times New Roman" w:hAnsi="Times New Roman" w:cs="Times New Roman"/>
                  <w:sz w:val="24"/>
                  <w:szCs w:val="24"/>
                </w:rPr>
                <w:t>Kërkesa të dhënash</w:t>
              </w:r>
            </w:hyperlink>
            <w:r w:rsidRPr="001C7200">
              <w:rPr>
                <w:rFonts w:ascii="Times New Roman" w:hAnsi="Times New Roman" w:cs="Times New Roman"/>
                <w:sz w:val="24"/>
                <w:szCs w:val="24"/>
              </w:rPr>
              <w:t>, për përdoruesit e jashtëm.</w:t>
            </w:r>
          </w:p>
        </w:tc>
      </w:tr>
      <w:tr w:rsidR="00BD6D4E" w:rsidRPr="00430D9B" w:rsidTr="00841B6F">
        <w:trPr>
          <w:trHeight w:val="611"/>
        </w:trPr>
        <w:tc>
          <w:tcPr>
            <w:tcW w:w="2518" w:type="dxa"/>
            <w:shd w:val="clear" w:color="auto" w:fill="FBD4B4" w:themeFill="accent6" w:themeFillTint="66"/>
            <w:noWrap/>
            <w:vAlign w:val="center"/>
            <w:hideMark/>
          </w:tcPr>
          <w:p w:rsidR="00BD6D4E" w:rsidRPr="00430D9B" w:rsidRDefault="00BD6D4E" w:rsidP="00430D9B">
            <w:pPr>
              <w:pStyle w:val="Heading1"/>
              <w:spacing w:before="0"/>
              <w:rPr>
                <w:rFonts w:ascii="Times New Roman" w:eastAsia="Times New Roman" w:hAnsi="Times New Roman" w:cs="Times New Roman"/>
                <w:b w:val="0"/>
                <w:bCs w:val="0"/>
                <w:noProof/>
                <w:color w:val="000000"/>
                <w:sz w:val="24"/>
                <w:szCs w:val="24"/>
                <w:lang w:val="sq-AL" w:eastAsia="sq-AL"/>
              </w:rPr>
            </w:pPr>
            <w:bookmarkStart w:id="17" w:name="_Toc474418814"/>
            <w:bookmarkStart w:id="18" w:name="_Toc65224567"/>
            <w:r w:rsidRPr="00430D9B">
              <w:rPr>
                <w:rFonts w:ascii="Times New Roman" w:eastAsia="Times New Roman" w:hAnsi="Times New Roman" w:cs="Times New Roman"/>
                <w:noProof/>
                <w:color w:val="000000"/>
                <w:sz w:val="24"/>
                <w:szCs w:val="24"/>
                <w:lang w:val="sq-AL" w:eastAsia="sq-AL"/>
              </w:rPr>
              <w:t>9</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Shpeshtësia e shpërndarjes</w:t>
            </w:r>
            <w:bookmarkEnd w:id="17"/>
            <w:bookmarkEnd w:id="18"/>
          </w:p>
        </w:tc>
        <w:tc>
          <w:tcPr>
            <w:tcW w:w="8164" w:type="dxa"/>
            <w:shd w:val="clear" w:color="auto" w:fill="auto"/>
            <w:noWrap/>
            <w:vAlign w:val="center"/>
            <w:hideMark/>
          </w:tcPr>
          <w:p w:rsidR="00BD6D4E" w:rsidRPr="00F42D46" w:rsidRDefault="00E66AD0" w:rsidP="00F42D46">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F42D46">
              <w:rPr>
                <w:rFonts w:ascii="Times New Roman" w:hAnsi="Times New Roman" w:cs="Times New Roman"/>
                <w:sz w:val="24"/>
              </w:rPr>
              <w:t>Bilanci i Energjisë Elektrike publikohet mbi baza tremujore dhe vjetore.</w:t>
            </w:r>
          </w:p>
        </w:tc>
      </w:tr>
      <w:tr w:rsidR="00BD6D4E" w:rsidRPr="00430D9B" w:rsidTr="00292FD9">
        <w:trPr>
          <w:trHeight w:val="521"/>
        </w:trPr>
        <w:tc>
          <w:tcPr>
            <w:tcW w:w="10682" w:type="dxa"/>
            <w:gridSpan w:val="2"/>
            <w:shd w:val="clear" w:color="auto" w:fill="FBD4B4" w:themeFill="accent6" w:themeFillTint="66"/>
            <w:noWrap/>
            <w:vAlign w:val="center"/>
            <w:hideMark/>
          </w:tcPr>
          <w:p w:rsidR="00BD6D4E" w:rsidRPr="00F42D46" w:rsidRDefault="00BD6D4E" w:rsidP="00F42D46">
            <w:pPr>
              <w:pStyle w:val="Heading1"/>
              <w:spacing w:before="240" w:after="240" w:line="240" w:lineRule="auto"/>
              <w:ind w:left="101" w:right="86"/>
              <w:jc w:val="both"/>
              <w:rPr>
                <w:rFonts w:ascii="Times New Roman" w:eastAsia="Times New Roman" w:hAnsi="Times New Roman" w:cs="Times New Roman"/>
                <w:b w:val="0"/>
                <w:bCs w:val="0"/>
                <w:noProof/>
                <w:sz w:val="24"/>
                <w:szCs w:val="24"/>
                <w:lang w:val="sq-AL" w:eastAsia="sq-AL"/>
              </w:rPr>
            </w:pPr>
            <w:bookmarkStart w:id="19" w:name="_Toc474418815"/>
            <w:bookmarkStart w:id="20" w:name="_Toc65224568"/>
            <w:r w:rsidRPr="00F42D46">
              <w:rPr>
                <w:rFonts w:ascii="Times New Roman" w:eastAsia="Times New Roman" w:hAnsi="Times New Roman" w:cs="Times New Roman"/>
                <w:noProof/>
                <w:color w:val="000000"/>
                <w:sz w:val="24"/>
                <w:szCs w:val="24"/>
                <w:lang w:val="sq-AL" w:eastAsia="sq-AL"/>
              </w:rPr>
              <w:t>10</w:t>
            </w:r>
            <w:r w:rsidRPr="00F42D46">
              <w:rPr>
                <w:rFonts w:ascii="Times New Roman" w:eastAsia="Times New Roman" w:hAnsi="Times New Roman" w:cs="Times New Roman"/>
                <w:b w:val="0"/>
                <w:bCs w:val="0"/>
                <w:noProof/>
                <w:color w:val="000000"/>
                <w:sz w:val="24"/>
                <w:szCs w:val="24"/>
                <w:lang w:val="sq-AL" w:eastAsia="sq-AL"/>
              </w:rPr>
              <w:t xml:space="preserve">. </w:t>
            </w:r>
            <w:r w:rsidRPr="00F42D46">
              <w:rPr>
                <w:rFonts w:ascii="Times New Roman" w:eastAsia="Times New Roman" w:hAnsi="Times New Roman" w:cs="Times New Roman"/>
                <w:noProof/>
                <w:color w:val="000000" w:themeColor="text1"/>
                <w:sz w:val="24"/>
                <w:szCs w:val="24"/>
                <w:lang w:val="sq-AL" w:eastAsia="sq-AL"/>
              </w:rPr>
              <w:t>Aksesi në të dhëna dhe qartësia</w:t>
            </w:r>
            <w:bookmarkEnd w:id="19"/>
            <w:bookmarkEnd w:id="20"/>
          </w:p>
        </w:tc>
      </w:tr>
      <w:tr w:rsidR="00BD6D4E" w:rsidRPr="00430D9B" w:rsidTr="00292FD9">
        <w:trPr>
          <w:trHeight w:val="2735"/>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10.1. Njoftim për media</w:t>
            </w:r>
          </w:p>
        </w:tc>
        <w:tc>
          <w:tcPr>
            <w:tcW w:w="8164" w:type="dxa"/>
            <w:shd w:val="clear" w:color="auto" w:fill="auto"/>
            <w:vAlign w:val="center"/>
          </w:tcPr>
          <w:p w:rsidR="00E66AD0" w:rsidRPr="0093731F" w:rsidRDefault="00E66AD0" w:rsidP="00760ECD">
            <w:pPr>
              <w:pStyle w:val="TableParagraph"/>
              <w:spacing w:before="200"/>
              <w:ind w:left="101" w:right="86"/>
              <w:jc w:val="both"/>
              <w:rPr>
                <w:sz w:val="24"/>
                <w:lang w:val="sq-AL"/>
              </w:rPr>
            </w:pPr>
            <w:r w:rsidRPr="0093731F">
              <w:rPr>
                <w:sz w:val="24"/>
                <w:lang w:val="sq-AL"/>
              </w:rPr>
              <w:t>Njoftimi për shtyp përmban informacion në lidhje me prodhimin neto vendas, energji termo, energji hidro, konsumi dhe humbjet vetjake, prodhimin e prodhuesve të pavarur privatë dhe koncesionarë, prodhimin e prodhuesve të tjerë, shkëmbimin e energjisë elektrike, konsumin e energjisë elektrike, humbjet në rrjet, përdorimin nga konsumatorët, përdorimi nga konsumatorët familjarë dhe jo familjarë.</w:t>
            </w:r>
          </w:p>
          <w:p w:rsidR="00BD6D4E" w:rsidRPr="00F42D46" w:rsidRDefault="00E66AD0" w:rsidP="00760ECD">
            <w:pPr>
              <w:spacing w:line="240" w:lineRule="auto"/>
              <w:ind w:left="101" w:right="86"/>
              <w:jc w:val="both"/>
              <w:rPr>
                <w:rFonts w:ascii="Times New Roman" w:eastAsia="Times New Roman" w:hAnsi="Times New Roman" w:cs="Times New Roman"/>
                <w:noProof/>
                <w:color w:val="000000"/>
                <w:sz w:val="24"/>
                <w:szCs w:val="24"/>
                <w:lang w:val="sq-AL" w:eastAsia="sq-AL"/>
              </w:rPr>
            </w:pPr>
            <w:r w:rsidRPr="0093731F">
              <w:rPr>
                <w:rFonts w:ascii="Times New Roman" w:hAnsi="Times New Roman" w:cs="Times New Roman"/>
                <w:sz w:val="24"/>
                <w:lang w:val="sq-AL"/>
              </w:rPr>
              <w:t xml:space="preserve">Njoftimi për shtyp i bilancit të energjisë elektrike publikohet online në faqen e internetit të INSTAT. </w:t>
            </w:r>
            <w:r w:rsidRPr="00F42D46">
              <w:rPr>
                <w:rFonts w:ascii="Times New Roman" w:hAnsi="Times New Roman" w:cs="Times New Roman"/>
                <w:sz w:val="24"/>
              </w:rPr>
              <w:t xml:space="preserve">Njoftimi për shtyp mund të aksesohet në linkun: </w:t>
            </w:r>
            <w:hyperlink r:id="rId15" w:history="1">
              <w:r w:rsidR="0009742C" w:rsidRPr="0009742C">
                <w:rPr>
                  <w:rStyle w:val="Hyperlink"/>
                  <w:rFonts w:ascii="Times New Roman" w:hAnsi="Times New Roman" w:cs="Times New Roman"/>
                  <w:sz w:val="24"/>
                </w:rPr>
                <w:t>Energjia</w:t>
              </w:r>
            </w:hyperlink>
          </w:p>
        </w:tc>
      </w:tr>
      <w:tr w:rsidR="00BD6D4E" w:rsidRPr="00430D9B" w:rsidTr="00292FD9">
        <w:trPr>
          <w:trHeight w:val="141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10.2. Publikime</w:t>
            </w:r>
          </w:p>
        </w:tc>
        <w:tc>
          <w:tcPr>
            <w:tcW w:w="8164" w:type="dxa"/>
            <w:shd w:val="clear" w:color="auto" w:fill="auto"/>
            <w:vAlign w:val="center"/>
          </w:tcPr>
          <w:p w:rsidR="00E66AD0" w:rsidRPr="0093731F" w:rsidRDefault="00E66AD0" w:rsidP="00292FD9">
            <w:pPr>
              <w:pStyle w:val="TableParagraph"/>
              <w:ind w:left="101" w:right="86"/>
              <w:jc w:val="both"/>
              <w:rPr>
                <w:sz w:val="24"/>
                <w:lang w:val="sq-AL"/>
              </w:rPr>
            </w:pPr>
            <w:r w:rsidRPr="0093731F">
              <w:rPr>
                <w:sz w:val="24"/>
                <w:lang w:val="sq-AL"/>
              </w:rPr>
              <w:t>Rezultatet e bilancit të energjisë elektrike gjenden të botuara në Vjetarin Statistikor.Përdoruesit mund ti gjejnë rezultatet në faqen e internetit të INSTAT:</w:t>
            </w:r>
          </w:p>
          <w:p w:rsidR="00BC7697" w:rsidRDefault="00807C82" w:rsidP="00841B6F">
            <w:pPr>
              <w:pStyle w:val="TableParagraph"/>
              <w:numPr>
                <w:ilvl w:val="0"/>
                <w:numId w:val="10"/>
              </w:numPr>
              <w:ind w:right="86"/>
              <w:jc w:val="both"/>
              <w:rPr>
                <w:sz w:val="24"/>
              </w:rPr>
            </w:pPr>
            <w:hyperlink r:id="rId16" w:anchor="tab4" w:history="1">
              <w:r w:rsidR="00BC7697" w:rsidRPr="00BC7697">
                <w:rPr>
                  <w:rStyle w:val="Hyperlink"/>
                  <w:sz w:val="24"/>
                </w:rPr>
                <w:t>Energjia</w:t>
              </w:r>
            </w:hyperlink>
          </w:p>
          <w:p w:rsidR="00E66AD0" w:rsidRPr="00BC7697" w:rsidRDefault="00807C82" w:rsidP="00841B6F">
            <w:pPr>
              <w:pStyle w:val="TableParagraph"/>
              <w:numPr>
                <w:ilvl w:val="0"/>
                <w:numId w:val="10"/>
              </w:numPr>
              <w:ind w:right="86"/>
              <w:jc w:val="both"/>
              <w:rPr>
                <w:sz w:val="24"/>
              </w:rPr>
            </w:pPr>
            <w:hyperlink r:id="rId17" w:history="1">
              <w:r w:rsidR="00BC7697" w:rsidRPr="00BC7697">
                <w:rPr>
                  <w:rStyle w:val="Hyperlink"/>
                  <w:sz w:val="24"/>
                </w:rPr>
                <w:t>Vjetari Statistikor</w:t>
              </w:r>
            </w:hyperlink>
          </w:p>
        </w:tc>
      </w:tr>
      <w:tr w:rsidR="00BD6D4E" w:rsidRPr="00430D9B" w:rsidTr="00A112B8">
        <w:trPr>
          <w:trHeight w:val="567"/>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10.3. Baza e të dhënave on-line</w:t>
            </w:r>
          </w:p>
        </w:tc>
        <w:tc>
          <w:tcPr>
            <w:tcW w:w="8164" w:type="dxa"/>
            <w:shd w:val="clear" w:color="auto" w:fill="auto"/>
            <w:vAlign w:val="center"/>
          </w:tcPr>
          <w:p w:rsidR="00BD6D4E" w:rsidRPr="00D41EE4" w:rsidRDefault="00E66AD0" w:rsidP="00760ECD">
            <w:pPr>
              <w:pStyle w:val="TableParagraph"/>
              <w:spacing w:before="200" w:after="200"/>
              <w:ind w:left="101" w:right="86"/>
              <w:jc w:val="both"/>
              <w:rPr>
                <w:sz w:val="24"/>
              </w:rPr>
            </w:pPr>
            <w:r w:rsidRPr="0093731F">
              <w:rPr>
                <w:sz w:val="24"/>
                <w:lang w:val="sq-AL"/>
              </w:rPr>
              <w:t>Të gjitha informacionet vihen në dispozicion në dy gjuhë: Shqip dhe Anglisht. Që nga viti 2011, përmes sistemit Pc-Axis, për përdoruesit e jashtëm në faqen e internetit ofrohet seria kohore e bilancit nga viti 2000 si viti referencë. Gjithashtu në këtë faqe interneti ka një shpjegim të thjeshtë</w:t>
            </w:r>
            <w:r w:rsidRPr="0093731F">
              <w:rPr>
                <w:spacing w:val="10"/>
                <w:sz w:val="24"/>
                <w:lang w:val="sq-AL"/>
              </w:rPr>
              <w:t xml:space="preserve"> </w:t>
            </w:r>
            <w:r w:rsidRPr="0093731F">
              <w:rPr>
                <w:sz w:val="24"/>
                <w:lang w:val="sq-AL"/>
              </w:rPr>
              <w:t>metodologjik.</w:t>
            </w:r>
            <w:r w:rsidRPr="0093731F">
              <w:rPr>
                <w:spacing w:val="10"/>
                <w:sz w:val="24"/>
                <w:lang w:val="sq-AL"/>
              </w:rPr>
              <w:t xml:space="preserve"> </w:t>
            </w:r>
            <w:r w:rsidRPr="00D41EE4">
              <w:rPr>
                <w:sz w:val="24"/>
              </w:rPr>
              <w:t>Bazën</w:t>
            </w:r>
            <w:r w:rsidRPr="00D41EE4">
              <w:rPr>
                <w:spacing w:val="10"/>
                <w:sz w:val="24"/>
              </w:rPr>
              <w:t xml:space="preserve"> </w:t>
            </w:r>
            <w:r w:rsidRPr="00D41EE4">
              <w:rPr>
                <w:sz w:val="24"/>
              </w:rPr>
              <w:t>e</w:t>
            </w:r>
            <w:r w:rsidRPr="00D41EE4">
              <w:rPr>
                <w:spacing w:val="10"/>
                <w:sz w:val="24"/>
              </w:rPr>
              <w:t xml:space="preserve"> </w:t>
            </w:r>
            <w:r w:rsidRPr="00D41EE4">
              <w:rPr>
                <w:sz w:val="24"/>
              </w:rPr>
              <w:t>të</w:t>
            </w:r>
            <w:r w:rsidRPr="00D41EE4">
              <w:rPr>
                <w:spacing w:val="10"/>
                <w:sz w:val="24"/>
              </w:rPr>
              <w:t xml:space="preserve"> </w:t>
            </w:r>
            <w:r w:rsidRPr="00D41EE4">
              <w:rPr>
                <w:sz w:val="24"/>
              </w:rPr>
              <w:t>dhënave</w:t>
            </w:r>
            <w:r w:rsidRPr="00D41EE4">
              <w:rPr>
                <w:spacing w:val="12"/>
                <w:sz w:val="24"/>
              </w:rPr>
              <w:t xml:space="preserve"> </w:t>
            </w:r>
            <w:r w:rsidRPr="00D41EE4">
              <w:rPr>
                <w:sz w:val="24"/>
              </w:rPr>
              <w:t>e</w:t>
            </w:r>
            <w:r w:rsidRPr="00D41EE4">
              <w:rPr>
                <w:spacing w:val="13"/>
                <w:sz w:val="24"/>
              </w:rPr>
              <w:t xml:space="preserve"> </w:t>
            </w:r>
            <w:r w:rsidRPr="00D41EE4">
              <w:rPr>
                <w:sz w:val="24"/>
              </w:rPr>
              <w:t>aksesoni</w:t>
            </w:r>
            <w:r w:rsidRPr="00D41EE4">
              <w:rPr>
                <w:spacing w:val="11"/>
                <w:sz w:val="24"/>
              </w:rPr>
              <w:t xml:space="preserve"> </w:t>
            </w:r>
            <w:r w:rsidRPr="00D41EE4">
              <w:rPr>
                <w:sz w:val="24"/>
              </w:rPr>
              <w:t xml:space="preserve">më poshtë: </w:t>
            </w:r>
            <w:hyperlink r:id="rId18" w:history="1">
              <w:r w:rsidR="00343B78" w:rsidRPr="00343B78">
                <w:rPr>
                  <w:rStyle w:val="Hyperlink"/>
                  <w:sz w:val="24"/>
                </w:rPr>
                <w:t>Databaza</w:t>
              </w:r>
            </w:hyperlink>
          </w:p>
        </w:tc>
      </w:tr>
      <w:tr w:rsidR="00BD6D4E" w:rsidRPr="0093731F" w:rsidTr="00841B6F">
        <w:trPr>
          <w:trHeight w:val="710"/>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10.4. Aksesi në të dhënat mikro </w:t>
            </w:r>
          </w:p>
        </w:tc>
        <w:tc>
          <w:tcPr>
            <w:tcW w:w="8164" w:type="dxa"/>
            <w:shd w:val="clear" w:color="auto" w:fill="auto"/>
            <w:noWrap/>
            <w:vAlign w:val="center"/>
            <w:hideMark/>
          </w:tcPr>
          <w:p w:rsidR="00BD6D4E" w:rsidRPr="00D41EE4" w:rsidRDefault="00E66AD0"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93731F">
              <w:rPr>
                <w:rFonts w:ascii="Times New Roman" w:hAnsi="Times New Roman" w:cs="Times New Roman"/>
                <w:sz w:val="24"/>
                <w:lang w:val="sq-AL"/>
              </w:rPr>
              <w:t>Të dhënat e bilancit të energjisë elektrike nuk bëhen të disponueshme në nivel mikro.</w:t>
            </w:r>
          </w:p>
        </w:tc>
      </w:tr>
      <w:tr w:rsidR="00BD6D4E" w:rsidRPr="0093731F" w:rsidTr="005A5408">
        <w:trPr>
          <w:trHeight w:val="56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10.5. Të tjera</w:t>
            </w:r>
          </w:p>
        </w:tc>
        <w:tc>
          <w:tcPr>
            <w:tcW w:w="8164" w:type="dxa"/>
            <w:shd w:val="clear" w:color="auto" w:fill="auto"/>
            <w:noWrap/>
            <w:vAlign w:val="center"/>
            <w:hideMark/>
          </w:tcPr>
          <w:p w:rsidR="00BD6D4E" w:rsidRPr="0093731F" w:rsidRDefault="00E66AD0" w:rsidP="00760ECD">
            <w:pPr>
              <w:pStyle w:val="TableParagraph"/>
              <w:spacing w:before="200" w:after="200"/>
              <w:ind w:left="101" w:right="86"/>
              <w:jc w:val="both"/>
              <w:rPr>
                <w:sz w:val="24"/>
                <w:lang w:val="sq-AL"/>
              </w:rPr>
            </w:pPr>
            <w:r w:rsidRPr="0093731F">
              <w:rPr>
                <w:sz w:val="24"/>
                <w:lang w:val="sq-AL"/>
              </w:rPr>
              <w:t>Përdoruesit mund të dërgojnë kërkesa të tjera specifike nëpërmjet një sesioni të dedikuar për kontaktet në linku më poshtë:</w:t>
            </w:r>
            <w:r w:rsidR="00343B78" w:rsidRPr="0093731F">
              <w:rPr>
                <w:sz w:val="24"/>
                <w:lang w:val="sq-AL"/>
              </w:rPr>
              <w:t xml:space="preserve"> </w:t>
            </w:r>
            <w:hyperlink r:id="rId19" w:history="1">
              <w:r w:rsidR="00343B78" w:rsidRPr="0093731F">
                <w:rPr>
                  <w:rStyle w:val="Hyperlink"/>
                  <w:sz w:val="24"/>
                  <w:lang w:val="sq-AL"/>
                </w:rPr>
                <w:t xml:space="preserve">Kërkesë të dhënash </w:t>
              </w:r>
            </w:hyperlink>
            <w:r w:rsidR="00343B78" w:rsidRPr="0093731F">
              <w:rPr>
                <w:sz w:val="24"/>
                <w:lang w:val="sq-AL"/>
              </w:rPr>
              <w:t xml:space="preserve"> </w:t>
            </w:r>
          </w:p>
        </w:tc>
      </w:tr>
      <w:tr w:rsidR="00BD6D4E" w:rsidRPr="0093731F" w:rsidTr="005A5408">
        <w:trPr>
          <w:trHeight w:val="56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10.6. Dokumentimi i metodologjisë </w:t>
            </w:r>
          </w:p>
        </w:tc>
        <w:tc>
          <w:tcPr>
            <w:tcW w:w="8164" w:type="dxa"/>
            <w:shd w:val="clear" w:color="auto" w:fill="auto"/>
            <w:vAlign w:val="center"/>
          </w:tcPr>
          <w:p w:rsidR="00E66AD0" w:rsidRPr="0093731F" w:rsidRDefault="00343B78" w:rsidP="00292FD9">
            <w:pPr>
              <w:spacing w:before="240" w:after="0" w:line="240" w:lineRule="auto"/>
              <w:ind w:left="101" w:right="86"/>
              <w:jc w:val="both"/>
              <w:rPr>
                <w:rFonts w:ascii="Times New Roman" w:hAnsi="Times New Roman" w:cs="Times New Roman"/>
                <w:sz w:val="24"/>
                <w:szCs w:val="24"/>
                <w:lang w:val="sq-AL"/>
              </w:rPr>
            </w:pPr>
            <w:r w:rsidRPr="0093731F">
              <w:rPr>
                <w:rFonts w:ascii="Times New Roman" w:hAnsi="Times New Roman" w:cs="Times New Roman"/>
                <w:sz w:val="24"/>
                <w:szCs w:val="24"/>
                <w:lang w:val="sq-AL"/>
              </w:rPr>
              <w:t xml:space="preserve">Një shpjegim i shkurtër lidhur me përkufizimet, konceptet </w:t>
            </w:r>
            <w:r w:rsidR="00746C7E" w:rsidRPr="0093731F">
              <w:rPr>
                <w:rFonts w:ascii="Times New Roman" w:hAnsi="Times New Roman" w:cs="Times New Roman"/>
                <w:sz w:val="24"/>
                <w:szCs w:val="24"/>
                <w:lang w:val="sq-AL"/>
              </w:rPr>
              <w:t xml:space="preserve">kryesore </w:t>
            </w:r>
            <w:r w:rsidR="00E66AD0" w:rsidRPr="0093731F">
              <w:rPr>
                <w:rFonts w:ascii="Times New Roman" w:hAnsi="Times New Roman" w:cs="Times New Roman"/>
                <w:sz w:val="24"/>
                <w:szCs w:val="24"/>
                <w:lang w:val="sq-AL"/>
              </w:rPr>
              <w:t xml:space="preserve">dhe </w:t>
            </w:r>
            <w:r w:rsidR="00E66AD0" w:rsidRPr="0093731F">
              <w:rPr>
                <w:rFonts w:ascii="Times New Roman" w:hAnsi="Times New Roman" w:cs="Times New Roman"/>
                <w:sz w:val="24"/>
                <w:szCs w:val="24"/>
                <w:lang w:val="sq-AL"/>
              </w:rPr>
              <w:lastRenderedPageBreak/>
              <w:t>shpjegimet metodologjike për përdoruesit publikohet në njoftimin për shtyp dhe</w:t>
            </w:r>
            <w:r w:rsidR="00E66AD0" w:rsidRPr="0093731F">
              <w:rPr>
                <w:rFonts w:ascii="Times New Roman" w:hAnsi="Times New Roman" w:cs="Times New Roman"/>
                <w:spacing w:val="-2"/>
                <w:sz w:val="24"/>
                <w:szCs w:val="24"/>
                <w:lang w:val="sq-AL"/>
              </w:rPr>
              <w:t xml:space="preserve"> </w:t>
            </w:r>
            <w:r w:rsidR="00E66AD0" w:rsidRPr="0093731F">
              <w:rPr>
                <w:rFonts w:ascii="Times New Roman" w:hAnsi="Times New Roman" w:cs="Times New Roman"/>
                <w:sz w:val="24"/>
                <w:szCs w:val="24"/>
                <w:lang w:val="sq-AL"/>
              </w:rPr>
              <w:t>publikimet.</w:t>
            </w:r>
          </w:p>
          <w:p w:rsidR="00BD6D4E" w:rsidRPr="00D41EE4" w:rsidRDefault="00E66AD0" w:rsidP="00A15C59">
            <w:pPr>
              <w:spacing w:after="240" w:line="240" w:lineRule="auto"/>
              <w:ind w:left="101" w:right="86"/>
              <w:jc w:val="both"/>
              <w:rPr>
                <w:rFonts w:ascii="Times New Roman" w:eastAsia="Times New Roman" w:hAnsi="Times New Roman" w:cs="Times New Roman"/>
                <w:noProof/>
                <w:color w:val="000000"/>
                <w:sz w:val="24"/>
                <w:szCs w:val="24"/>
                <w:lang w:val="sq-AL" w:eastAsia="sq-AL"/>
              </w:rPr>
            </w:pPr>
            <w:r w:rsidRPr="0093731F">
              <w:rPr>
                <w:rFonts w:ascii="Times New Roman" w:hAnsi="Times New Roman" w:cs="Times New Roman"/>
                <w:sz w:val="24"/>
                <w:lang w:val="sq-AL"/>
              </w:rPr>
              <w:t xml:space="preserve">Informacione shtesë u jepen përdoruesve të brendshëm kur është e nevojshme. Në faqen e INSTAT ka një seksion lidhur me metodogjinë mbi hartimin e bilancit të energjisë elektrike në linkun e mëposhtëm: </w:t>
            </w:r>
            <w:hyperlink r:id="rId20" w:anchor="tab4" w:history="1">
              <w:r w:rsidR="00343B78" w:rsidRPr="0093731F">
                <w:rPr>
                  <w:rStyle w:val="Hyperlink"/>
                  <w:rFonts w:ascii="Times New Roman" w:hAnsi="Times New Roman" w:cs="Times New Roman"/>
                  <w:sz w:val="24"/>
                  <w:lang w:val="sq-AL"/>
                </w:rPr>
                <w:t>Energjia</w:t>
              </w:r>
            </w:hyperlink>
            <w:r w:rsidR="00343B78" w:rsidRPr="0093731F">
              <w:rPr>
                <w:rFonts w:ascii="Times New Roman" w:hAnsi="Times New Roman" w:cs="Times New Roman"/>
                <w:sz w:val="24"/>
                <w:lang w:val="sq-AL"/>
              </w:rPr>
              <w:t xml:space="preserve"> </w:t>
            </w:r>
          </w:p>
        </w:tc>
      </w:tr>
      <w:tr w:rsidR="00BD6D4E" w:rsidRPr="0093731F" w:rsidTr="00A15C59">
        <w:trPr>
          <w:trHeight w:val="800"/>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10.7. Dokumentimi i cilësisë</w:t>
            </w:r>
          </w:p>
        </w:tc>
        <w:tc>
          <w:tcPr>
            <w:tcW w:w="8164" w:type="dxa"/>
            <w:shd w:val="clear" w:color="auto" w:fill="auto"/>
            <w:noWrap/>
            <w:vAlign w:val="center"/>
            <w:hideMark/>
          </w:tcPr>
          <w:p w:rsidR="00BD6D4E" w:rsidRPr="0093731F" w:rsidRDefault="00E66AD0" w:rsidP="00292FD9">
            <w:pPr>
              <w:spacing w:before="240" w:after="240" w:line="240" w:lineRule="auto"/>
              <w:ind w:left="101" w:right="86"/>
              <w:jc w:val="both"/>
              <w:rPr>
                <w:rFonts w:ascii="Times New Roman" w:hAnsi="Times New Roman" w:cs="Times New Roman"/>
                <w:sz w:val="24"/>
                <w:szCs w:val="24"/>
                <w:lang w:val="sq-AL"/>
              </w:rPr>
            </w:pPr>
            <w:r w:rsidRPr="0093731F">
              <w:rPr>
                <w:rFonts w:ascii="Times New Roman" w:hAnsi="Times New Roman" w:cs="Times New Roman"/>
                <w:sz w:val="24"/>
                <w:szCs w:val="24"/>
                <w:lang w:val="sq-AL"/>
              </w:rPr>
              <w:t>Sektori i Statistikave Strukturore dokumenton të gjithë procesin e punës dhe procedurat e hartimit të bilancit të energjisë elektrike për qëllime të brendshme.</w:t>
            </w:r>
          </w:p>
        </w:tc>
      </w:tr>
      <w:tr w:rsidR="00BD6D4E" w:rsidRPr="00430D9B" w:rsidTr="00A15C59">
        <w:trPr>
          <w:trHeight w:val="377"/>
        </w:trPr>
        <w:tc>
          <w:tcPr>
            <w:tcW w:w="10682" w:type="dxa"/>
            <w:gridSpan w:val="2"/>
            <w:shd w:val="clear" w:color="auto" w:fill="FBD4B4" w:themeFill="accent6" w:themeFillTint="66"/>
            <w:noWrap/>
            <w:vAlign w:val="center"/>
            <w:hideMark/>
          </w:tcPr>
          <w:p w:rsidR="00BD6D4E" w:rsidRPr="00430D9B" w:rsidRDefault="00BD6D4E" w:rsidP="00626614">
            <w:pPr>
              <w:pStyle w:val="Heading1"/>
              <w:spacing w:before="240" w:after="240" w:line="240" w:lineRule="auto"/>
              <w:ind w:left="101" w:right="86"/>
              <w:rPr>
                <w:rFonts w:ascii="Times New Roman" w:eastAsia="Times New Roman" w:hAnsi="Times New Roman" w:cs="Times New Roman"/>
                <w:b w:val="0"/>
                <w:bCs w:val="0"/>
                <w:noProof/>
                <w:color w:val="000000"/>
                <w:sz w:val="24"/>
                <w:szCs w:val="24"/>
                <w:lang w:val="sq-AL" w:eastAsia="sq-AL"/>
              </w:rPr>
            </w:pPr>
            <w:bookmarkStart w:id="21" w:name="_Toc474418816"/>
            <w:bookmarkStart w:id="22" w:name="_Toc65224569"/>
            <w:r w:rsidRPr="00430D9B">
              <w:rPr>
                <w:rFonts w:ascii="Times New Roman" w:eastAsia="Times New Roman" w:hAnsi="Times New Roman" w:cs="Times New Roman"/>
                <w:noProof/>
                <w:color w:val="000000"/>
                <w:sz w:val="24"/>
                <w:szCs w:val="24"/>
                <w:lang w:val="sq-AL" w:eastAsia="sq-AL"/>
              </w:rPr>
              <w:t>11</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Manaxhimi i cilësisë</w:t>
            </w:r>
            <w:bookmarkEnd w:id="21"/>
            <w:bookmarkEnd w:id="22"/>
          </w:p>
        </w:tc>
      </w:tr>
      <w:tr w:rsidR="00BD6D4E" w:rsidRPr="0093731F" w:rsidTr="00A112B8">
        <w:trPr>
          <w:trHeight w:val="567"/>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11.1. Sigurimi i cilësisë </w:t>
            </w:r>
          </w:p>
        </w:tc>
        <w:tc>
          <w:tcPr>
            <w:tcW w:w="8164" w:type="dxa"/>
            <w:shd w:val="clear" w:color="auto" w:fill="auto"/>
            <w:vAlign w:val="center"/>
          </w:tcPr>
          <w:p w:rsidR="00E66AD0" w:rsidRPr="0093731F" w:rsidRDefault="00E66AD0" w:rsidP="005A5408">
            <w:pPr>
              <w:pStyle w:val="TableParagraph"/>
              <w:spacing w:before="120" w:after="120"/>
              <w:ind w:left="101" w:right="86"/>
              <w:jc w:val="both"/>
              <w:rPr>
                <w:sz w:val="24"/>
                <w:lang w:val="de-DE"/>
              </w:rPr>
            </w:pPr>
            <w:r w:rsidRPr="0093731F">
              <w:rPr>
                <w:sz w:val="24"/>
                <w:lang w:val="de-DE"/>
              </w:rPr>
              <w:t xml:space="preserve">INSTAT është i angazhuar për sigurimin e cilësisë në prodhimin e statistikave zyrtare. Duke u bazuar në </w:t>
            </w:r>
            <w:hyperlink r:id="rId21" w:history="1">
              <w:r w:rsidRPr="0093731F">
                <w:rPr>
                  <w:rStyle w:val="Hyperlink"/>
                  <w:sz w:val="24"/>
                  <w:lang w:val="de-DE"/>
                </w:rPr>
                <w:t>Ligjin Nr. 17/2018 "Për statistikat zyrtare",</w:t>
              </w:r>
            </w:hyperlink>
            <w:r w:rsidRPr="0093731F">
              <w:rPr>
                <w:sz w:val="24"/>
                <w:lang w:val="de-DE"/>
              </w:rPr>
              <w:t xml:space="preserve"> INSTAT përdor metoda dhe procese statistikore në përputhje me parimet dhe standardet shkencore të pranuara ndërkombëtarisht, si dhe kryen analiza të vazhdueshme, me qëllim përmirësimin e cilësisë dhe ofrimin e statistikave të përditësuara.</w:t>
            </w:r>
            <w:r w:rsidR="005A5408">
              <w:rPr>
                <w:sz w:val="24"/>
                <w:lang w:val="de-DE"/>
              </w:rPr>
              <w:t xml:space="preserve"> </w:t>
            </w:r>
            <w:r w:rsidRPr="0093731F">
              <w:rPr>
                <w:sz w:val="24"/>
                <w:lang w:val="de-DE"/>
              </w:rPr>
              <w:t>Në kryerjen e detyrave të tij, INSTAT ndjek parimet e përgjithshme të menaxhimit të cilësisë, në përputhje me Kodin e Praktikës së Statistikave Evropiane (</w:t>
            </w:r>
            <w:hyperlink r:id="rId22" w:history="1">
              <w:r w:rsidRPr="0093731F">
                <w:rPr>
                  <w:rStyle w:val="Hyperlink"/>
                  <w:sz w:val="24"/>
                  <w:lang w:val="de-DE"/>
                </w:rPr>
                <w:t>European Statistics Code of Practice</w:t>
              </w:r>
            </w:hyperlink>
            <w:r w:rsidRPr="0093731F">
              <w:rPr>
                <w:sz w:val="24"/>
                <w:lang w:val="de-DE"/>
              </w:rPr>
              <w:t>). INSTAT për sigurimin e cilësisë udhëhiqet nga parimet e mëposhtme: paanshmëria, cilësia e proceseve dhe produkteve statistikore, orientimi për përdoruesit, orientimi për punonjësit, efektiviteti i proceseve statistikore dhe reduktimi i ngarkesës së të</w:t>
            </w:r>
            <w:r w:rsidRPr="0093731F">
              <w:rPr>
                <w:spacing w:val="-2"/>
                <w:sz w:val="24"/>
                <w:lang w:val="de-DE"/>
              </w:rPr>
              <w:t xml:space="preserve"> </w:t>
            </w:r>
            <w:r w:rsidRPr="0093731F">
              <w:rPr>
                <w:sz w:val="24"/>
                <w:lang w:val="de-DE"/>
              </w:rPr>
              <w:t>intervistuarve.</w:t>
            </w:r>
          </w:p>
          <w:p w:rsidR="00BD6D4E" w:rsidRPr="0093731F" w:rsidRDefault="00E66AD0" w:rsidP="00292FD9">
            <w:pPr>
              <w:pStyle w:val="TableParagraph"/>
              <w:spacing w:before="120" w:after="120"/>
              <w:ind w:left="101" w:right="86"/>
              <w:jc w:val="both"/>
              <w:rPr>
                <w:sz w:val="24"/>
                <w:lang w:val="de-DE"/>
              </w:rPr>
            </w:pPr>
            <w:r w:rsidRPr="0093731F">
              <w:rPr>
                <w:sz w:val="24"/>
                <w:lang w:val="de-DE"/>
              </w:rPr>
              <w:t>Sigurimi i cilësinë bëhet nëpërmjet kontrolleve të rregullta për operatorët që veprojnë në fushën e energjisë elektrike. Verifikimet përfshijnë konsistencën e vlerave të energjisë elektrike lidhur me prodhimin, konsumin, shkëmbimin e energjisë elektrike, humbjet në rrjet, përdorimin nga konsumatorët etj.</w:t>
            </w:r>
          </w:p>
        </w:tc>
      </w:tr>
      <w:tr w:rsidR="00BD6D4E" w:rsidRPr="0093731F" w:rsidTr="00AE2F82">
        <w:trPr>
          <w:trHeight w:val="56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11.2. Vlerësimi i cilësisë</w:t>
            </w:r>
          </w:p>
        </w:tc>
        <w:tc>
          <w:tcPr>
            <w:tcW w:w="8164" w:type="dxa"/>
            <w:shd w:val="clear" w:color="auto" w:fill="auto"/>
            <w:vAlign w:val="center"/>
          </w:tcPr>
          <w:p w:rsidR="00BD6D4E" w:rsidRPr="0093731F" w:rsidRDefault="00E66AD0" w:rsidP="00D41EE4">
            <w:pPr>
              <w:pStyle w:val="TableParagraph"/>
              <w:spacing w:before="240" w:after="240"/>
              <w:ind w:left="101" w:right="86"/>
              <w:jc w:val="both"/>
              <w:rPr>
                <w:sz w:val="24"/>
                <w:lang w:val="sq-AL"/>
              </w:rPr>
            </w:pPr>
            <w:r w:rsidRPr="0093731F">
              <w:rPr>
                <w:sz w:val="24"/>
                <w:lang w:val="sq-AL"/>
              </w:rPr>
              <w:t>Të dhënat e bilancit të energjisë elektrike krahasohen me të dhënat e viteve të kaluara për të parë trendin e treguesve të këtij bilanci. Nëse vihen re diferenca statistikore mbi 5%, atëherë verifikohen edhe njëherë të dhënat nga evidencat me operatorët e prodhimit, transmetimit</w:t>
            </w:r>
            <w:r w:rsidRPr="0093731F">
              <w:rPr>
                <w:spacing w:val="38"/>
                <w:sz w:val="24"/>
                <w:lang w:val="sq-AL"/>
              </w:rPr>
              <w:t xml:space="preserve"> </w:t>
            </w:r>
            <w:r w:rsidRPr="0093731F">
              <w:rPr>
                <w:sz w:val="24"/>
                <w:lang w:val="sq-AL"/>
              </w:rPr>
              <w:t>dhe shpërndarjes së energjisë elektrike.</w:t>
            </w:r>
          </w:p>
        </w:tc>
      </w:tr>
      <w:tr w:rsidR="00BD6D4E" w:rsidRPr="00430D9B" w:rsidTr="00AE2F82">
        <w:trPr>
          <w:trHeight w:val="562"/>
        </w:trPr>
        <w:tc>
          <w:tcPr>
            <w:tcW w:w="10682" w:type="dxa"/>
            <w:gridSpan w:val="2"/>
            <w:shd w:val="clear" w:color="auto" w:fill="FBD4B4" w:themeFill="accent6" w:themeFillTint="66"/>
            <w:noWrap/>
            <w:vAlign w:val="center"/>
            <w:hideMark/>
          </w:tcPr>
          <w:p w:rsidR="00BD6D4E" w:rsidRPr="00430D9B" w:rsidRDefault="00BD6D4E" w:rsidP="00EF6AD6">
            <w:pPr>
              <w:pStyle w:val="Heading1"/>
              <w:spacing w:before="0"/>
              <w:rPr>
                <w:rFonts w:ascii="Times New Roman" w:eastAsia="Times New Roman" w:hAnsi="Times New Roman" w:cs="Times New Roman"/>
                <w:b w:val="0"/>
                <w:bCs w:val="0"/>
                <w:noProof/>
                <w:color w:val="000000"/>
                <w:sz w:val="24"/>
                <w:szCs w:val="24"/>
                <w:lang w:val="sq-AL" w:eastAsia="sq-AL"/>
              </w:rPr>
            </w:pPr>
            <w:bookmarkStart w:id="23" w:name="_Toc474418817"/>
            <w:bookmarkStart w:id="24" w:name="_Toc65224570"/>
            <w:r w:rsidRPr="00430D9B">
              <w:rPr>
                <w:rFonts w:ascii="Times New Roman" w:eastAsia="Times New Roman" w:hAnsi="Times New Roman" w:cs="Times New Roman"/>
                <w:noProof/>
                <w:color w:val="000000"/>
                <w:sz w:val="24"/>
                <w:szCs w:val="24"/>
                <w:lang w:val="sq-AL" w:eastAsia="sq-AL"/>
              </w:rPr>
              <w:t>12</w:t>
            </w:r>
            <w:r w:rsidRPr="00430D9B">
              <w:rPr>
                <w:rFonts w:ascii="Times New Roman" w:eastAsia="Times New Roman" w:hAnsi="Times New Roman" w:cs="Times New Roman"/>
                <w:b w:val="0"/>
                <w:bCs w:val="0"/>
                <w:noProof/>
                <w:color w:val="000000"/>
                <w:sz w:val="24"/>
                <w:szCs w:val="24"/>
                <w:lang w:val="sq-AL" w:eastAsia="sq-AL"/>
              </w:rPr>
              <w:t xml:space="preserve">. </w:t>
            </w:r>
            <w:r w:rsidRPr="00430D9B">
              <w:rPr>
                <w:rFonts w:ascii="Times New Roman" w:eastAsia="Times New Roman" w:hAnsi="Times New Roman" w:cs="Times New Roman"/>
                <w:noProof/>
                <w:color w:val="000000" w:themeColor="text1"/>
                <w:sz w:val="24"/>
                <w:szCs w:val="24"/>
                <w:lang w:val="sq-AL" w:eastAsia="sq-AL"/>
              </w:rPr>
              <w:t>Rëndësia</w:t>
            </w:r>
            <w:bookmarkEnd w:id="23"/>
            <w:bookmarkEnd w:id="24"/>
          </w:p>
        </w:tc>
      </w:tr>
      <w:tr w:rsidR="00BD6D4E" w:rsidRPr="00430D9B" w:rsidTr="005A5408">
        <w:trPr>
          <w:trHeight w:val="56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12.1. Nevojat e përdoruesit</w:t>
            </w:r>
          </w:p>
        </w:tc>
        <w:tc>
          <w:tcPr>
            <w:tcW w:w="8164" w:type="dxa"/>
            <w:shd w:val="clear" w:color="auto" w:fill="auto"/>
            <w:vAlign w:val="center"/>
          </w:tcPr>
          <w:p w:rsidR="00E66AD0" w:rsidRPr="00D41EE4" w:rsidRDefault="00E66AD0" w:rsidP="00760ECD">
            <w:pPr>
              <w:pStyle w:val="TableParagraph"/>
              <w:spacing w:before="200"/>
              <w:ind w:left="101" w:right="86"/>
              <w:jc w:val="both"/>
              <w:rPr>
                <w:sz w:val="24"/>
              </w:rPr>
            </w:pPr>
            <w:r w:rsidRPr="0093731F">
              <w:rPr>
                <w:sz w:val="24"/>
                <w:lang w:val="sq-AL"/>
              </w:rPr>
              <w:t xml:space="preserve">Përdoruesit e bilancit të energjisë elektrike janë përdorues të jashtëm. </w:t>
            </w:r>
            <w:r w:rsidRPr="00D41EE4">
              <w:rPr>
                <w:sz w:val="24"/>
              </w:rPr>
              <w:t>Me përdorues të jashtëm nënkuptojmë:</w:t>
            </w:r>
          </w:p>
          <w:p w:rsidR="00E66AD0" w:rsidRPr="00D41EE4" w:rsidRDefault="00E66AD0" w:rsidP="004E4A9C">
            <w:pPr>
              <w:pStyle w:val="TableParagraph"/>
              <w:numPr>
                <w:ilvl w:val="0"/>
                <w:numId w:val="2"/>
              </w:numPr>
              <w:tabs>
                <w:tab w:val="left" w:pos="878"/>
                <w:tab w:val="left" w:pos="879"/>
              </w:tabs>
              <w:ind w:left="101" w:right="86" w:hanging="414"/>
              <w:jc w:val="both"/>
              <w:rPr>
                <w:sz w:val="24"/>
              </w:rPr>
            </w:pPr>
            <w:r w:rsidRPr="00D41EE4">
              <w:rPr>
                <w:sz w:val="24"/>
              </w:rPr>
              <w:t>Institucione të administratës</w:t>
            </w:r>
            <w:r w:rsidRPr="00D41EE4">
              <w:rPr>
                <w:spacing w:val="-1"/>
                <w:sz w:val="24"/>
              </w:rPr>
              <w:t xml:space="preserve"> </w:t>
            </w:r>
            <w:r w:rsidRPr="00D41EE4">
              <w:rPr>
                <w:sz w:val="24"/>
              </w:rPr>
              <w:t>publike,</w:t>
            </w:r>
          </w:p>
          <w:p w:rsidR="00E66AD0" w:rsidRPr="00D41EE4" w:rsidRDefault="002A16B8" w:rsidP="004E4A9C">
            <w:pPr>
              <w:pStyle w:val="TableParagraph"/>
              <w:numPr>
                <w:ilvl w:val="0"/>
                <w:numId w:val="6"/>
              </w:numPr>
              <w:tabs>
                <w:tab w:val="left" w:pos="878"/>
                <w:tab w:val="left" w:pos="879"/>
              </w:tabs>
              <w:ind w:right="86"/>
              <w:jc w:val="both"/>
              <w:rPr>
                <w:sz w:val="24"/>
              </w:rPr>
            </w:pPr>
            <w:r>
              <w:rPr>
                <w:sz w:val="24"/>
              </w:rPr>
              <w:t>Universitetet</w:t>
            </w:r>
          </w:p>
          <w:p w:rsidR="00E66AD0" w:rsidRPr="00D41EE4" w:rsidRDefault="00E66AD0" w:rsidP="004E4A9C">
            <w:pPr>
              <w:pStyle w:val="TableParagraph"/>
              <w:numPr>
                <w:ilvl w:val="0"/>
                <w:numId w:val="6"/>
              </w:numPr>
              <w:tabs>
                <w:tab w:val="left" w:pos="878"/>
                <w:tab w:val="left" w:pos="879"/>
              </w:tabs>
              <w:ind w:right="86"/>
              <w:jc w:val="both"/>
              <w:rPr>
                <w:sz w:val="24"/>
              </w:rPr>
            </w:pPr>
            <w:r w:rsidRPr="00D41EE4">
              <w:rPr>
                <w:sz w:val="24"/>
              </w:rPr>
              <w:t>Organizatat jo fitimprurëse kombëtare dhe</w:t>
            </w:r>
            <w:r w:rsidRPr="00D41EE4">
              <w:rPr>
                <w:spacing w:val="-6"/>
                <w:sz w:val="24"/>
              </w:rPr>
              <w:t xml:space="preserve"> </w:t>
            </w:r>
            <w:r w:rsidR="002A16B8">
              <w:rPr>
                <w:sz w:val="24"/>
              </w:rPr>
              <w:t>ndërkombëtare</w:t>
            </w:r>
          </w:p>
          <w:p w:rsidR="00E66AD0" w:rsidRPr="00D41EE4" w:rsidRDefault="002A16B8" w:rsidP="004E4A9C">
            <w:pPr>
              <w:pStyle w:val="TableParagraph"/>
              <w:numPr>
                <w:ilvl w:val="0"/>
                <w:numId w:val="6"/>
              </w:numPr>
              <w:tabs>
                <w:tab w:val="left" w:pos="878"/>
                <w:tab w:val="left" w:pos="879"/>
              </w:tabs>
              <w:ind w:right="86"/>
              <w:jc w:val="both"/>
              <w:rPr>
                <w:sz w:val="24"/>
              </w:rPr>
            </w:pPr>
            <w:r>
              <w:rPr>
                <w:sz w:val="24"/>
              </w:rPr>
              <w:t>Bizneset</w:t>
            </w:r>
          </w:p>
          <w:p w:rsidR="00E66AD0" w:rsidRPr="00D41EE4" w:rsidRDefault="00E66AD0" w:rsidP="004E4A9C">
            <w:pPr>
              <w:pStyle w:val="TableParagraph"/>
              <w:numPr>
                <w:ilvl w:val="0"/>
                <w:numId w:val="6"/>
              </w:numPr>
              <w:tabs>
                <w:tab w:val="left" w:pos="878"/>
                <w:tab w:val="left" w:pos="879"/>
              </w:tabs>
              <w:ind w:right="86"/>
              <w:jc w:val="both"/>
              <w:rPr>
                <w:sz w:val="24"/>
              </w:rPr>
            </w:pPr>
            <w:r w:rsidRPr="00D41EE4">
              <w:rPr>
                <w:sz w:val="24"/>
              </w:rPr>
              <w:t>Kërkues, student edhe të tjerë grupe të</w:t>
            </w:r>
            <w:r w:rsidRPr="00D41EE4">
              <w:rPr>
                <w:spacing w:val="-3"/>
                <w:sz w:val="24"/>
              </w:rPr>
              <w:t xml:space="preserve"> </w:t>
            </w:r>
            <w:r w:rsidRPr="00D41EE4">
              <w:rPr>
                <w:sz w:val="24"/>
              </w:rPr>
              <w:t>ngjashme.</w:t>
            </w:r>
          </w:p>
          <w:p w:rsidR="00BD6D4E" w:rsidRPr="00430D9B" w:rsidRDefault="00E66AD0"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D41EE4">
              <w:rPr>
                <w:rFonts w:ascii="Times New Roman" w:hAnsi="Times New Roman" w:cs="Times New Roman"/>
                <w:sz w:val="24"/>
              </w:rPr>
              <w:t>Bilanci i energjisë elektrike i dërgohet në baza tremujore dhe vjetore një grupi të caktuar përdoruesish me e-mail.</w:t>
            </w:r>
          </w:p>
        </w:tc>
      </w:tr>
      <w:tr w:rsidR="00BD6D4E" w:rsidRPr="0093731F" w:rsidTr="005A5408">
        <w:trPr>
          <w:trHeight w:val="56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12.2. Kënaqësia e përdoruesit</w:t>
            </w:r>
          </w:p>
        </w:tc>
        <w:tc>
          <w:tcPr>
            <w:tcW w:w="8164" w:type="dxa"/>
            <w:shd w:val="clear" w:color="auto" w:fill="auto"/>
            <w:noWrap/>
            <w:vAlign w:val="center"/>
            <w:hideMark/>
          </w:tcPr>
          <w:p w:rsidR="00854265" w:rsidRPr="002857E2" w:rsidRDefault="00854265" w:rsidP="00FE0ABE">
            <w:pPr>
              <w:spacing w:before="240" w:after="0" w:line="240" w:lineRule="auto"/>
              <w:ind w:left="101" w:right="86"/>
              <w:jc w:val="both"/>
              <w:rPr>
                <w:rFonts w:ascii="Times New Roman" w:eastAsia="Times New Roman" w:hAnsi="Times New Roman" w:cs="Times New Roman"/>
                <w:noProof/>
                <w:sz w:val="24"/>
                <w:szCs w:val="24"/>
                <w:lang w:val="sq-AL" w:eastAsia="sq-AL"/>
              </w:rPr>
            </w:pPr>
            <w:r w:rsidRPr="002857E2">
              <w:rPr>
                <w:rFonts w:ascii="Times New Roman" w:eastAsia="Times New Roman" w:hAnsi="Times New Roman" w:cs="Times New Roman"/>
                <w:noProof/>
                <w:sz w:val="24"/>
                <w:szCs w:val="24"/>
                <w:lang w:val="sq-AL" w:eastAsia="sq-AL"/>
              </w:rPr>
              <w:t>Pa</w:t>
            </w:r>
            <w:r w:rsidR="002857E2">
              <w:rPr>
                <w:rFonts w:ascii="Times New Roman" w:eastAsia="Times New Roman" w:hAnsi="Times New Roman" w:cs="Times New Roman"/>
                <w:noProof/>
                <w:sz w:val="24"/>
                <w:szCs w:val="24"/>
                <w:lang w:val="sq-AL" w:eastAsia="sq-AL"/>
              </w:rPr>
              <w:t xml:space="preserve">ge Views (Klikime) në lidhje </w:t>
            </w:r>
            <w:r w:rsidR="002857E2" w:rsidRPr="002857E2">
              <w:rPr>
                <w:rFonts w:ascii="Times New Roman" w:eastAsia="Times New Roman" w:hAnsi="Times New Roman" w:cs="Times New Roman"/>
                <w:noProof/>
                <w:sz w:val="24"/>
                <w:szCs w:val="24"/>
                <w:lang w:val="sq-AL" w:eastAsia="sq-AL"/>
              </w:rPr>
              <w:t xml:space="preserve">me </w:t>
            </w:r>
            <w:r w:rsidRPr="002857E2">
              <w:rPr>
                <w:rFonts w:ascii="Times New Roman" w:eastAsia="Times New Roman" w:hAnsi="Times New Roman" w:cs="Times New Roman"/>
                <w:sz w:val="24"/>
                <w:szCs w:val="24"/>
                <w:lang w:val="sq-AL" w:eastAsia="en-GB"/>
              </w:rPr>
              <w:t>Bilancin e Energjisë Elektrike</w:t>
            </w:r>
            <w:r w:rsidRPr="002857E2">
              <w:rPr>
                <w:rFonts w:ascii="Times New Roman" w:eastAsia="Times New Roman" w:hAnsi="Times New Roman" w:cs="Times New Roman"/>
                <w:noProof/>
                <w:sz w:val="24"/>
                <w:szCs w:val="24"/>
                <w:lang w:val="sq-AL" w:eastAsia="sq-AL"/>
              </w:rPr>
              <w:t xml:space="preserve"> </w:t>
            </w:r>
            <w:r w:rsidR="00353643">
              <w:rPr>
                <w:rFonts w:ascii="Times New Roman" w:eastAsia="Times New Roman" w:hAnsi="Times New Roman" w:cs="Times New Roman"/>
                <w:noProof/>
                <w:sz w:val="24"/>
                <w:szCs w:val="24"/>
                <w:lang w:val="sq-AL" w:eastAsia="sq-AL"/>
              </w:rPr>
              <w:t>për vitin 2020 janë rreth 11,</w:t>
            </w:r>
            <w:r w:rsidRPr="002857E2">
              <w:rPr>
                <w:rFonts w:ascii="Times New Roman" w:eastAsia="Times New Roman" w:hAnsi="Times New Roman" w:cs="Times New Roman"/>
                <w:noProof/>
                <w:sz w:val="24"/>
                <w:szCs w:val="24"/>
                <w:lang w:val="sq-AL" w:eastAsia="sq-AL"/>
              </w:rPr>
              <w:t>577 klikime.</w:t>
            </w:r>
          </w:p>
          <w:p w:rsidR="00854265" w:rsidRPr="002857E2" w:rsidRDefault="00854265" w:rsidP="00FE0ABE">
            <w:pPr>
              <w:spacing w:after="0" w:line="240" w:lineRule="auto"/>
              <w:ind w:left="101" w:right="86"/>
              <w:jc w:val="both"/>
              <w:rPr>
                <w:rFonts w:ascii="Times New Roman" w:eastAsia="Times New Roman" w:hAnsi="Times New Roman" w:cs="Times New Roman"/>
                <w:noProof/>
                <w:sz w:val="24"/>
                <w:szCs w:val="24"/>
                <w:lang w:val="sq-AL" w:eastAsia="sq-AL"/>
              </w:rPr>
            </w:pPr>
            <w:r w:rsidRPr="002857E2">
              <w:rPr>
                <w:rFonts w:ascii="Times New Roman" w:eastAsia="Times New Roman" w:hAnsi="Times New Roman" w:cs="Times New Roman"/>
                <w:noProof/>
                <w:sz w:val="24"/>
                <w:szCs w:val="24"/>
                <w:lang w:val="sq-AL" w:eastAsia="sq-AL"/>
              </w:rPr>
              <w:t xml:space="preserve">Gjatë 2020 INSTAT ka kryer vrojtimin për matjen e kënaqësisë së përdoruesve. </w:t>
            </w:r>
            <w:r w:rsidRPr="002857E2">
              <w:rPr>
                <w:rFonts w:ascii="Times New Roman" w:eastAsia="Times New Roman" w:hAnsi="Times New Roman" w:cs="Times New Roman"/>
                <w:noProof/>
                <w:sz w:val="24"/>
                <w:szCs w:val="24"/>
                <w:lang w:val="sq-AL" w:eastAsia="sq-AL"/>
              </w:rPr>
              <w:lastRenderedPageBreak/>
              <w:t>Rezultatet e vrojtimit për 2020 tregojnë se cilësia e përgjithshme e temës "Energjia" është vlerësuar me 3.</w:t>
            </w:r>
            <w:r w:rsidR="002857E2" w:rsidRPr="002857E2">
              <w:rPr>
                <w:rFonts w:ascii="Times New Roman" w:eastAsia="Times New Roman" w:hAnsi="Times New Roman" w:cs="Times New Roman"/>
                <w:noProof/>
                <w:sz w:val="24"/>
                <w:szCs w:val="24"/>
                <w:lang w:val="sq-AL" w:eastAsia="sq-AL"/>
              </w:rPr>
              <w:t>67</w:t>
            </w:r>
            <w:r w:rsidRPr="002857E2">
              <w:rPr>
                <w:rFonts w:ascii="Times New Roman" w:eastAsia="Times New Roman" w:hAnsi="Times New Roman" w:cs="Times New Roman"/>
                <w:noProof/>
                <w:sz w:val="24"/>
                <w:szCs w:val="24"/>
                <w:lang w:val="sq-AL" w:eastAsia="sq-AL"/>
              </w:rPr>
              <w:t xml:space="preserve"> (7</w:t>
            </w:r>
            <w:r w:rsidR="002857E2" w:rsidRPr="002857E2">
              <w:rPr>
                <w:rFonts w:ascii="Times New Roman" w:eastAsia="Times New Roman" w:hAnsi="Times New Roman" w:cs="Times New Roman"/>
                <w:noProof/>
                <w:sz w:val="24"/>
                <w:szCs w:val="24"/>
                <w:lang w:val="sq-AL" w:eastAsia="sq-AL"/>
              </w:rPr>
              <w:t>3.4</w:t>
            </w:r>
            <w:r w:rsidRPr="002857E2">
              <w:rPr>
                <w:rFonts w:ascii="Times New Roman" w:hAnsi="Times New Roman" w:cs="Times New Roman"/>
                <w:sz w:val="24"/>
                <w:lang w:val="sq-AL"/>
              </w:rPr>
              <w:t>%)</w:t>
            </w:r>
            <w:r w:rsidRPr="002857E2">
              <w:rPr>
                <w:rFonts w:ascii="Times New Roman" w:eastAsia="Times New Roman" w:hAnsi="Times New Roman" w:cs="Times New Roman"/>
                <w:noProof/>
                <w:sz w:val="24"/>
                <w:szCs w:val="24"/>
                <w:lang w:val="sq-AL" w:eastAsia="sq-AL"/>
              </w:rPr>
              <w:t xml:space="preserve"> nga një shkalle prej 1 (shumë dobët) në 5 (shumë mirë).</w:t>
            </w:r>
          </w:p>
          <w:p w:rsidR="00854265" w:rsidRPr="00430D9B" w:rsidRDefault="00854265" w:rsidP="00FE0ABE">
            <w:pPr>
              <w:spacing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color w:val="000000" w:themeColor="text1"/>
                <w:sz w:val="24"/>
                <w:szCs w:val="24"/>
                <w:lang w:val="sq-AL" w:eastAsia="en-GB"/>
              </w:rPr>
              <w:t xml:space="preserve">INSTAT organizon cdo vit </w:t>
            </w:r>
            <w:hyperlink r:id="rId23" w:history="1">
              <w:r>
                <w:rPr>
                  <w:rStyle w:val="Hyperlink"/>
                  <w:rFonts w:ascii="Times New Roman" w:eastAsia="Times New Roman" w:hAnsi="Times New Roman" w:cs="Times New Roman"/>
                  <w:sz w:val="24"/>
                  <w:szCs w:val="24"/>
                  <w:lang w:val="sq-AL" w:eastAsia="en-GB"/>
                </w:rPr>
                <w:t>Anketën e Kënaqësisë se Përdoruesve</w:t>
              </w:r>
            </w:hyperlink>
            <w:r>
              <w:rPr>
                <w:rStyle w:val="Hyperlink"/>
                <w:rFonts w:ascii="Times New Roman" w:eastAsia="Times New Roman" w:hAnsi="Times New Roman" w:cs="Times New Roman"/>
                <w:sz w:val="24"/>
                <w:szCs w:val="24"/>
                <w:lang w:val="sq-AL" w:eastAsia="en-GB"/>
              </w:rPr>
              <w:t>.</w:t>
            </w:r>
          </w:p>
        </w:tc>
      </w:tr>
      <w:tr w:rsidR="00BD6D4E" w:rsidRPr="0093731F" w:rsidTr="00A112B8">
        <w:trPr>
          <w:trHeight w:val="567"/>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12.3. Plotshmëria</w:t>
            </w:r>
          </w:p>
        </w:tc>
        <w:tc>
          <w:tcPr>
            <w:tcW w:w="8164" w:type="dxa"/>
            <w:shd w:val="clear" w:color="auto" w:fill="auto"/>
            <w:noWrap/>
            <w:vAlign w:val="center"/>
            <w:hideMark/>
          </w:tcPr>
          <w:p w:rsidR="00202284" w:rsidRPr="0093731F" w:rsidRDefault="00E66AD0" w:rsidP="005A5408">
            <w:pPr>
              <w:spacing w:before="200" w:line="240" w:lineRule="auto"/>
              <w:ind w:left="101" w:right="86"/>
              <w:jc w:val="both"/>
              <w:rPr>
                <w:rFonts w:ascii="Times New Roman" w:hAnsi="Times New Roman" w:cs="Times New Roman"/>
                <w:sz w:val="24"/>
                <w:lang w:val="sq-AL"/>
              </w:rPr>
            </w:pPr>
            <w:r w:rsidRPr="0093731F">
              <w:rPr>
                <w:rFonts w:ascii="Times New Roman" w:hAnsi="Times New Roman" w:cs="Times New Roman"/>
                <w:sz w:val="24"/>
                <w:lang w:val="sq-AL"/>
              </w:rPr>
              <w:t>Ky botim është një botim kombëtar dhe nuk është pjesë e kërkesave të Eurostat.</w:t>
            </w:r>
          </w:p>
        </w:tc>
      </w:tr>
      <w:tr w:rsidR="00BD6D4E" w:rsidRPr="00430D9B" w:rsidTr="00A128F6">
        <w:trPr>
          <w:trHeight w:val="755"/>
        </w:trPr>
        <w:tc>
          <w:tcPr>
            <w:tcW w:w="10682" w:type="dxa"/>
            <w:gridSpan w:val="2"/>
            <w:shd w:val="clear" w:color="auto" w:fill="FBD4B4" w:themeFill="accent6" w:themeFillTint="66"/>
            <w:noWrap/>
            <w:vAlign w:val="center"/>
            <w:hideMark/>
          </w:tcPr>
          <w:p w:rsidR="00A128F6" w:rsidRPr="00A128F6" w:rsidRDefault="00BD6D4E" w:rsidP="00A128F6">
            <w:pPr>
              <w:pStyle w:val="Heading1"/>
              <w:spacing w:before="0"/>
              <w:rPr>
                <w:rFonts w:ascii="Times New Roman" w:eastAsia="Times New Roman" w:hAnsi="Times New Roman" w:cs="Times New Roman"/>
                <w:noProof/>
                <w:color w:val="000000" w:themeColor="text1"/>
                <w:sz w:val="24"/>
                <w:szCs w:val="24"/>
                <w:lang w:val="sq-AL" w:eastAsia="sq-AL"/>
              </w:rPr>
            </w:pPr>
            <w:bookmarkStart w:id="25" w:name="_Toc474418818"/>
            <w:bookmarkStart w:id="26" w:name="_Toc65224571"/>
            <w:r w:rsidRPr="00E87B99">
              <w:rPr>
                <w:rFonts w:ascii="Times New Roman" w:eastAsia="Times New Roman" w:hAnsi="Times New Roman" w:cs="Times New Roman"/>
                <w:bCs w:val="0"/>
                <w:noProof/>
                <w:color w:val="000000"/>
                <w:sz w:val="24"/>
                <w:szCs w:val="24"/>
                <w:lang w:val="sq-AL" w:eastAsia="sq-AL"/>
              </w:rPr>
              <w:t xml:space="preserve">13. </w:t>
            </w:r>
            <w:r w:rsidRPr="00E87B99">
              <w:rPr>
                <w:rFonts w:ascii="Times New Roman" w:eastAsia="Times New Roman" w:hAnsi="Times New Roman" w:cs="Times New Roman"/>
                <w:noProof/>
                <w:color w:val="000000" w:themeColor="text1"/>
                <w:sz w:val="24"/>
                <w:szCs w:val="24"/>
                <w:lang w:val="sq-AL" w:eastAsia="sq-AL"/>
              </w:rPr>
              <w:t>Saktësia dhe besueshmëria</w:t>
            </w:r>
            <w:bookmarkEnd w:id="25"/>
            <w:bookmarkEnd w:id="26"/>
          </w:p>
        </w:tc>
      </w:tr>
      <w:tr w:rsidR="00BD6D4E" w:rsidRPr="0093731F" w:rsidTr="00A112B8">
        <w:trPr>
          <w:trHeight w:val="567"/>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13.1. Saktësia e përgjithshme</w:t>
            </w:r>
          </w:p>
        </w:tc>
        <w:tc>
          <w:tcPr>
            <w:tcW w:w="8164" w:type="dxa"/>
            <w:shd w:val="clear" w:color="auto" w:fill="auto"/>
            <w:vAlign w:val="center"/>
          </w:tcPr>
          <w:p w:rsidR="00BD6D4E" w:rsidRPr="0093731F" w:rsidRDefault="009E5422" w:rsidP="00760ECD">
            <w:pPr>
              <w:pStyle w:val="TableParagraph"/>
              <w:spacing w:before="200" w:after="200"/>
              <w:ind w:left="101" w:right="86"/>
              <w:jc w:val="both"/>
              <w:rPr>
                <w:sz w:val="24"/>
                <w:lang w:val="sq-AL"/>
              </w:rPr>
            </w:pPr>
            <w:r>
              <w:rPr>
                <w:sz w:val="24"/>
                <w:lang w:val="sq-AL"/>
              </w:rPr>
              <w:t xml:space="preserve">Në përgjithësi </w:t>
            </w:r>
            <w:r w:rsidR="00E66AD0" w:rsidRPr="0093731F">
              <w:rPr>
                <w:sz w:val="24"/>
                <w:lang w:val="sq-AL"/>
              </w:rPr>
              <w:t>të dhënat janë kontrolluar me vitet e mëparshme për të identifikuar ndonjë ndryshim të rëndësishëm në ecurinë e të dhënave si dhe me operatorët e prodhimit, transmetimit dhe shpërndarjes së energjisë elektrike.</w:t>
            </w:r>
          </w:p>
        </w:tc>
      </w:tr>
      <w:tr w:rsidR="00BD6D4E" w:rsidRPr="00430D9B" w:rsidTr="00A112B8">
        <w:trPr>
          <w:trHeight w:val="567"/>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13.2. Gabim i kampionimit</w:t>
            </w:r>
          </w:p>
        </w:tc>
        <w:tc>
          <w:tcPr>
            <w:tcW w:w="8164" w:type="dxa"/>
            <w:shd w:val="clear" w:color="auto" w:fill="auto"/>
            <w:vAlign w:val="center"/>
          </w:tcPr>
          <w:p w:rsidR="00BD6D4E" w:rsidRPr="00D41EE4" w:rsidRDefault="00E66AD0" w:rsidP="006D2CB0">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2857E2">
              <w:rPr>
                <w:rFonts w:ascii="Times New Roman" w:hAnsi="Times New Roman" w:cs="Times New Roman"/>
                <w:sz w:val="24"/>
              </w:rPr>
              <w:t xml:space="preserve">Nuk </w:t>
            </w:r>
            <w:r w:rsidR="006D2CB0" w:rsidRPr="002857E2">
              <w:rPr>
                <w:rFonts w:ascii="Times New Roman" w:hAnsi="Times New Roman" w:cs="Times New Roman"/>
                <w:sz w:val="24"/>
              </w:rPr>
              <w:t>aplikohet.</w:t>
            </w:r>
          </w:p>
        </w:tc>
      </w:tr>
      <w:tr w:rsidR="00BD6D4E" w:rsidRPr="0093731F" w:rsidTr="005A5408">
        <w:trPr>
          <w:trHeight w:val="1484"/>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13.3. Gabim jo i kampionimit </w:t>
            </w:r>
          </w:p>
        </w:tc>
        <w:tc>
          <w:tcPr>
            <w:tcW w:w="8164" w:type="dxa"/>
            <w:shd w:val="clear" w:color="auto" w:fill="auto"/>
            <w:vAlign w:val="center"/>
          </w:tcPr>
          <w:p w:rsidR="00BD6D4E" w:rsidRPr="00841B6F" w:rsidRDefault="00E66AD0" w:rsidP="005A5408">
            <w:pPr>
              <w:pStyle w:val="TableParagraph"/>
              <w:spacing w:before="200" w:after="200"/>
              <w:ind w:left="101" w:right="86"/>
              <w:jc w:val="both"/>
              <w:rPr>
                <w:noProof/>
                <w:color w:val="000000"/>
                <w:sz w:val="24"/>
                <w:szCs w:val="24"/>
                <w:lang w:val="sq-AL" w:eastAsia="sq-AL" w:bidi="ar-SA"/>
              </w:rPr>
            </w:pPr>
            <w:r w:rsidRPr="00841B6F">
              <w:rPr>
                <w:noProof/>
                <w:color w:val="000000"/>
                <w:sz w:val="24"/>
                <w:szCs w:val="24"/>
                <w:lang w:val="sq-AL" w:eastAsia="sq-AL" w:bidi="ar-SA"/>
              </w:rPr>
              <w:t>Mos përgjigje të njësive statistikore nuk kemi sepse të dhënat janë siguruar nga burime administrative të cilat kanë detyrim ligjor ti përgjigjen kërkesave të INSTAT. Mos-përgjigje në nivel variabli gjithashtu nuk ka sepse çdo operator ka detyrim ligjor të plotësojë çdo tregues të kërkuar nga INSTAT.</w:t>
            </w:r>
          </w:p>
        </w:tc>
      </w:tr>
      <w:tr w:rsidR="00BD6D4E" w:rsidRPr="00430D9B" w:rsidTr="008110E0">
        <w:trPr>
          <w:trHeight w:val="710"/>
        </w:trPr>
        <w:tc>
          <w:tcPr>
            <w:tcW w:w="10682" w:type="dxa"/>
            <w:gridSpan w:val="2"/>
            <w:shd w:val="clear" w:color="auto" w:fill="FBD4B4" w:themeFill="accent6" w:themeFillTint="66"/>
            <w:noWrap/>
            <w:vAlign w:val="center"/>
            <w:hideMark/>
          </w:tcPr>
          <w:p w:rsidR="00BD6D4E" w:rsidRPr="00767F0B" w:rsidRDefault="00BD6D4E" w:rsidP="00767F0B">
            <w:pPr>
              <w:pStyle w:val="Heading1"/>
              <w:spacing w:before="0"/>
              <w:rPr>
                <w:rFonts w:ascii="Times New Roman" w:eastAsia="Times New Roman" w:hAnsi="Times New Roman" w:cs="Times New Roman"/>
                <w:bCs w:val="0"/>
                <w:noProof/>
                <w:color w:val="000000"/>
                <w:sz w:val="24"/>
                <w:szCs w:val="24"/>
                <w:lang w:val="sq-AL" w:eastAsia="sq-AL"/>
              </w:rPr>
            </w:pPr>
            <w:bookmarkStart w:id="27" w:name="_Toc474418819"/>
            <w:bookmarkStart w:id="28" w:name="_Toc65224572"/>
            <w:r w:rsidRPr="00767F0B">
              <w:rPr>
                <w:rFonts w:ascii="Times New Roman" w:eastAsia="Times New Roman" w:hAnsi="Times New Roman" w:cs="Times New Roman"/>
                <w:bCs w:val="0"/>
                <w:noProof/>
                <w:color w:val="000000"/>
                <w:sz w:val="24"/>
                <w:szCs w:val="24"/>
                <w:lang w:val="sq-AL" w:eastAsia="sq-AL"/>
              </w:rPr>
              <w:t>14. Afatet kohore dhe përpikmëria</w:t>
            </w:r>
            <w:bookmarkEnd w:id="27"/>
            <w:bookmarkEnd w:id="28"/>
          </w:p>
        </w:tc>
      </w:tr>
      <w:tr w:rsidR="00BD6D4E" w:rsidRPr="0093731F" w:rsidTr="005A5408">
        <w:trPr>
          <w:trHeight w:val="2339"/>
        </w:trPr>
        <w:tc>
          <w:tcPr>
            <w:tcW w:w="2518" w:type="dxa"/>
            <w:shd w:val="clear" w:color="auto" w:fill="FFFFCC"/>
            <w:noWrap/>
            <w:vAlign w:val="center"/>
            <w:hideMark/>
          </w:tcPr>
          <w:p w:rsidR="00BD6D4E" w:rsidRPr="00841B6F" w:rsidRDefault="00BD6D4E" w:rsidP="00430D9B">
            <w:pPr>
              <w:spacing w:after="0"/>
              <w:rPr>
                <w:rFonts w:ascii="Times New Roman" w:eastAsia="Times New Roman" w:hAnsi="Times New Roman" w:cs="Times New Roman"/>
                <w:noProof/>
                <w:color w:val="000000"/>
                <w:sz w:val="24"/>
                <w:szCs w:val="24"/>
                <w:lang w:val="sq-AL" w:eastAsia="sq-AL"/>
              </w:rPr>
            </w:pPr>
            <w:r w:rsidRPr="00841B6F">
              <w:rPr>
                <w:rFonts w:ascii="Times New Roman" w:eastAsia="Times New Roman" w:hAnsi="Times New Roman" w:cs="Times New Roman"/>
                <w:noProof/>
                <w:color w:val="000000"/>
                <w:sz w:val="24"/>
                <w:szCs w:val="24"/>
                <w:lang w:val="sq-AL" w:eastAsia="sq-AL"/>
              </w:rPr>
              <w:t>14.1. Afatet kohore </w:t>
            </w:r>
          </w:p>
        </w:tc>
        <w:tc>
          <w:tcPr>
            <w:tcW w:w="8164" w:type="dxa"/>
            <w:shd w:val="clear" w:color="auto" w:fill="auto"/>
            <w:vAlign w:val="center"/>
          </w:tcPr>
          <w:p w:rsidR="00D771EE" w:rsidRPr="00C451A7" w:rsidRDefault="00A81868" w:rsidP="00760ECD">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C451A7">
              <w:rPr>
                <w:rFonts w:ascii="Times New Roman" w:eastAsia="Times New Roman" w:hAnsi="Times New Roman" w:cs="Times New Roman"/>
                <w:noProof/>
                <w:color w:val="000000"/>
                <w:sz w:val="24"/>
                <w:szCs w:val="24"/>
                <w:lang w:val="sq-AL" w:eastAsia="sq-AL"/>
              </w:rPr>
              <w:t>Rezultatet e “</w:t>
            </w:r>
            <w:r w:rsidR="00AE49F2" w:rsidRPr="00C451A7">
              <w:rPr>
                <w:rFonts w:ascii="Times New Roman" w:eastAsia="Times New Roman" w:hAnsi="Times New Roman" w:cs="Times New Roman"/>
                <w:noProof/>
                <w:color w:val="000000"/>
                <w:sz w:val="24"/>
                <w:szCs w:val="24"/>
                <w:lang w:val="sq-AL" w:eastAsia="sq-AL"/>
              </w:rPr>
              <w:t>Bilancit te Energjisë Elektrike</w:t>
            </w:r>
            <w:r w:rsidR="00D771EE">
              <w:rPr>
                <w:rFonts w:ascii="Times New Roman" w:eastAsia="Times New Roman" w:hAnsi="Times New Roman" w:cs="Times New Roman"/>
                <w:noProof/>
                <w:color w:val="000000"/>
                <w:sz w:val="24"/>
                <w:szCs w:val="24"/>
                <w:lang w:val="sq-AL" w:eastAsia="sq-AL"/>
              </w:rPr>
              <w:t>” janë publikuar në faq</w:t>
            </w:r>
            <w:r w:rsidRPr="00C451A7">
              <w:rPr>
                <w:rFonts w:ascii="Times New Roman" w:eastAsia="Times New Roman" w:hAnsi="Times New Roman" w:cs="Times New Roman"/>
                <w:noProof/>
                <w:color w:val="000000"/>
                <w:sz w:val="24"/>
                <w:szCs w:val="24"/>
                <w:lang w:val="sq-AL" w:eastAsia="sq-AL"/>
              </w:rPr>
              <w:t xml:space="preserve">en e internetit të INSTAT </w:t>
            </w:r>
            <w:r w:rsidR="009E5422" w:rsidRPr="00C451A7">
              <w:rPr>
                <w:rFonts w:ascii="Times New Roman" w:eastAsia="Times New Roman" w:hAnsi="Times New Roman" w:cs="Times New Roman"/>
                <w:noProof/>
                <w:color w:val="000000"/>
                <w:sz w:val="24"/>
                <w:szCs w:val="24"/>
                <w:lang w:val="sq-AL" w:eastAsia="sq-AL"/>
              </w:rPr>
              <w:t>62</w:t>
            </w:r>
            <w:r w:rsidRPr="00C451A7">
              <w:rPr>
                <w:rFonts w:ascii="Times New Roman" w:eastAsia="Times New Roman" w:hAnsi="Times New Roman" w:cs="Times New Roman"/>
                <w:noProof/>
                <w:color w:val="000000"/>
                <w:sz w:val="24"/>
                <w:szCs w:val="24"/>
                <w:lang w:val="sq-AL" w:eastAsia="sq-AL"/>
              </w:rPr>
              <w:t xml:space="preserve"> ditë pas përfundimit të periudhës referuese (T + </w:t>
            </w:r>
            <w:r w:rsidR="007D023C" w:rsidRPr="00C451A7">
              <w:rPr>
                <w:rFonts w:ascii="Times New Roman" w:eastAsia="Times New Roman" w:hAnsi="Times New Roman" w:cs="Times New Roman"/>
                <w:noProof/>
                <w:color w:val="000000"/>
                <w:sz w:val="24"/>
                <w:szCs w:val="24"/>
                <w:lang w:val="sq-AL" w:eastAsia="sq-AL"/>
              </w:rPr>
              <w:t>6</w:t>
            </w:r>
            <w:r w:rsidR="009E5422" w:rsidRPr="00C451A7">
              <w:rPr>
                <w:rFonts w:ascii="Times New Roman" w:eastAsia="Times New Roman" w:hAnsi="Times New Roman" w:cs="Times New Roman"/>
                <w:noProof/>
                <w:color w:val="000000"/>
                <w:sz w:val="24"/>
                <w:szCs w:val="24"/>
                <w:lang w:val="sq-AL" w:eastAsia="sq-AL"/>
              </w:rPr>
              <w:t>2</w:t>
            </w:r>
            <w:r w:rsidRPr="00C451A7">
              <w:rPr>
                <w:rFonts w:ascii="Times New Roman" w:eastAsia="Times New Roman" w:hAnsi="Times New Roman" w:cs="Times New Roman"/>
                <w:noProof/>
                <w:color w:val="000000"/>
                <w:sz w:val="24"/>
                <w:szCs w:val="24"/>
                <w:lang w:val="sq-AL" w:eastAsia="sq-AL"/>
              </w:rPr>
              <w:t xml:space="preserve"> ditë). Periudha ref</w:t>
            </w:r>
            <w:r w:rsidR="00AE49F2" w:rsidRPr="00C451A7">
              <w:rPr>
                <w:rFonts w:ascii="Times New Roman" w:eastAsia="Times New Roman" w:hAnsi="Times New Roman" w:cs="Times New Roman"/>
                <w:noProof/>
                <w:color w:val="000000"/>
                <w:sz w:val="24"/>
                <w:szCs w:val="24"/>
                <w:lang w:val="sq-AL" w:eastAsia="sq-AL"/>
              </w:rPr>
              <w:t>eruese e rezultateve të Bilancit te Energjisë Elektrike 20</w:t>
            </w:r>
            <w:r w:rsidR="009E5422" w:rsidRPr="00C451A7">
              <w:rPr>
                <w:rFonts w:ascii="Times New Roman" w:eastAsia="Times New Roman" w:hAnsi="Times New Roman" w:cs="Times New Roman"/>
                <w:noProof/>
                <w:color w:val="000000"/>
                <w:sz w:val="24"/>
                <w:szCs w:val="24"/>
                <w:lang w:val="sq-AL" w:eastAsia="sq-AL"/>
              </w:rPr>
              <w:t>20</w:t>
            </w:r>
            <w:r w:rsidR="00AE49F2" w:rsidRPr="00C451A7">
              <w:rPr>
                <w:rFonts w:ascii="Times New Roman" w:eastAsia="Times New Roman" w:hAnsi="Times New Roman" w:cs="Times New Roman"/>
                <w:noProof/>
                <w:color w:val="000000"/>
                <w:sz w:val="24"/>
                <w:szCs w:val="24"/>
                <w:lang w:val="sq-AL" w:eastAsia="sq-AL"/>
              </w:rPr>
              <w:t xml:space="preserve"> është 31 Dhjetori 20</w:t>
            </w:r>
            <w:r w:rsidR="009E5422" w:rsidRPr="00C451A7">
              <w:rPr>
                <w:rFonts w:ascii="Times New Roman" w:eastAsia="Times New Roman" w:hAnsi="Times New Roman" w:cs="Times New Roman"/>
                <w:noProof/>
                <w:color w:val="000000"/>
                <w:sz w:val="24"/>
                <w:szCs w:val="24"/>
                <w:lang w:val="sq-AL" w:eastAsia="sq-AL"/>
              </w:rPr>
              <w:t>20</w:t>
            </w:r>
          </w:p>
          <w:tbl>
            <w:tblPr>
              <w:tblW w:w="3960" w:type="dxa"/>
              <w:tblInd w:w="1077" w:type="dxa"/>
              <w:tblLayout w:type="fixed"/>
              <w:tblLook w:val="04A0" w:firstRow="1" w:lastRow="0" w:firstColumn="1" w:lastColumn="0" w:noHBand="0" w:noVBand="1"/>
            </w:tblPr>
            <w:tblGrid>
              <w:gridCol w:w="2340"/>
              <w:gridCol w:w="1620"/>
            </w:tblGrid>
            <w:tr w:rsidR="00D771EE" w:rsidRPr="00D771EE" w:rsidTr="00D771EE">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1EE" w:rsidRPr="00D771EE" w:rsidRDefault="00D771EE" w:rsidP="00D771EE">
                  <w:pPr>
                    <w:spacing w:after="0" w:line="240" w:lineRule="auto"/>
                    <w:rPr>
                      <w:rFonts w:ascii="Times New Roman" w:eastAsia="Times New Roman" w:hAnsi="Times New Roman" w:cs="Times New Roman"/>
                      <w:color w:val="000000"/>
                    </w:rPr>
                  </w:pPr>
                  <w:r w:rsidRPr="00D771EE">
                    <w:rPr>
                      <w:rFonts w:ascii="Times New Roman" w:eastAsia="Times New Roman" w:hAnsi="Times New Roman" w:cs="Times New Roman"/>
                      <w:color w:val="000000"/>
                    </w:rPr>
                    <w:t>Periudha referuese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D771EE">
                    <w:rPr>
                      <w:rFonts w:ascii="Times New Roman" w:eastAsia="Times New Roman" w:hAnsi="Times New Roman" w:cs="Times New Roman"/>
                      <w:color w:val="000000"/>
                    </w:rPr>
                    <w:t>2020</w:t>
                  </w:r>
                </w:p>
              </w:tc>
            </w:tr>
            <w:tr w:rsidR="00D771EE" w:rsidRPr="00D771EE" w:rsidTr="00D771EE">
              <w:trPr>
                <w:trHeight w:val="6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771EE" w:rsidRPr="00D771EE" w:rsidRDefault="00D771EE" w:rsidP="00D771EE">
                  <w:pPr>
                    <w:spacing w:after="0" w:line="240" w:lineRule="auto"/>
                    <w:rPr>
                      <w:rFonts w:ascii="Times New Roman" w:eastAsia="Times New Roman" w:hAnsi="Times New Roman" w:cs="Times New Roman"/>
                      <w:color w:val="000000"/>
                    </w:rPr>
                  </w:pPr>
                  <w:r w:rsidRPr="00D771EE">
                    <w:rPr>
                      <w:rFonts w:ascii="Times New Roman" w:eastAsia="Times New Roman" w:hAnsi="Times New Roman" w:cs="Times New Roman"/>
                      <w:color w:val="000000"/>
                    </w:rPr>
                    <w:t>Data e publikimit</w:t>
                  </w:r>
                </w:p>
              </w:tc>
              <w:tc>
                <w:tcPr>
                  <w:tcW w:w="1620" w:type="dxa"/>
                  <w:tcBorders>
                    <w:top w:val="nil"/>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sidRPr="00D771EE">
                    <w:rPr>
                      <w:rFonts w:ascii="Times New Roman" w:eastAsia="Times New Roman" w:hAnsi="Times New Roman" w:cs="Times New Roman"/>
                      <w:color w:val="000000"/>
                    </w:rPr>
                    <w:t>2021</w:t>
                  </w:r>
                </w:p>
              </w:tc>
            </w:tr>
            <w:tr w:rsidR="00D771EE" w:rsidRPr="00D771EE" w:rsidTr="00D771EE">
              <w:trPr>
                <w:trHeight w:val="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rPr>
                      <w:rFonts w:ascii="Times New Roman" w:eastAsia="Times New Roman" w:hAnsi="Times New Roman" w:cs="Times New Roman"/>
                    </w:rPr>
                  </w:pPr>
                  <w:r w:rsidRPr="00D771EE">
                    <w:rPr>
                      <w:rFonts w:ascii="Times New Roman" w:eastAsia="Times New Roman" w:hAnsi="Times New Roman" w:cs="Times New Roman"/>
                    </w:rPr>
                    <w:t>Afatet kohore</w:t>
                  </w:r>
                </w:p>
              </w:tc>
              <w:tc>
                <w:tcPr>
                  <w:tcW w:w="1620" w:type="dxa"/>
                  <w:tcBorders>
                    <w:top w:val="nil"/>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sidRPr="00D771EE">
                    <w:rPr>
                      <w:rFonts w:ascii="Times New Roman" w:eastAsia="Times New Roman" w:hAnsi="Times New Roman" w:cs="Times New Roman"/>
                      <w:color w:val="000000"/>
                    </w:rPr>
                    <w:t>62</w:t>
                  </w:r>
                </w:p>
              </w:tc>
            </w:tr>
          </w:tbl>
          <w:p w:rsidR="00BF1B78" w:rsidRPr="00C14B60" w:rsidRDefault="00BF1B78" w:rsidP="00D771EE">
            <w:pPr>
              <w:spacing w:before="240" w:after="240" w:line="240" w:lineRule="auto"/>
              <w:ind w:right="86"/>
              <w:jc w:val="both"/>
              <w:rPr>
                <w:rFonts w:ascii="Times New Roman" w:eastAsia="Times New Roman" w:hAnsi="Times New Roman" w:cs="Times New Roman"/>
                <w:noProof/>
                <w:color w:val="000000"/>
                <w:sz w:val="24"/>
                <w:szCs w:val="24"/>
                <w:lang w:val="sq-AL" w:eastAsia="sq-AL"/>
              </w:rPr>
            </w:pPr>
          </w:p>
        </w:tc>
      </w:tr>
      <w:tr w:rsidR="00BD6D4E" w:rsidRPr="00430D9B" w:rsidTr="00760ECD">
        <w:trPr>
          <w:trHeight w:val="2150"/>
        </w:trPr>
        <w:tc>
          <w:tcPr>
            <w:tcW w:w="2518" w:type="dxa"/>
            <w:shd w:val="clear" w:color="auto" w:fill="FFFFCC"/>
            <w:noWrap/>
            <w:vAlign w:val="center"/>
            <w:hideMark/>
          </w:tcPr>
          <w:p w:rsidR="00BD6D4E" w:rsidRPr="00841B6F" w:rsidRDefault="00BD6D4E" w:rsidP="00430D9B">
            <w:pPr>
              <w:spacing w:after="0"/>
              <w:rPr>
                <w:rFonts w:ascii="Times New Roman" w:eastAsia="Times New Roman" w:hAnsi="Times New Roman" w:cs="Times New Roman"/>
                <w:noProof/>
                <w:color w:val="000000"/>
                <w:sz w:val="24"/>
                <w:szCs w:val="24"/>
                <w:lang w:val="sq-AL" w:eastAsia="sq-AL"/>
              </w:rPr>
            </w:pPr>
            <w:r w:rsidRPr="00841B6F">
              <w:rPr>
                <w:rFonts w:ascii="Times New Roman" w:eastAsia="Times New Roman" w:hAnsi="Times New Roman" w:cs="Times New Roman"/>
                <w:noProof/>
                <w:color w:val="000000"/>
                <w:sz w:val="24"/>
                <w:szCs w:val="24"/>
                <w:lang w:val="sq-AL" w:eastAsia="sq-AL"/>
              </w:rPr>
              <w:t>14.2. Përpikmëria</w:t>
            </w:r>
          </w:p>
        </w:tc>
        <w:tc>
          <w:tcPr>
            <w:tcW w:w="8164" w:type="dxa"/>
            <w:shd w:val="clear" w:color="auto" w:fill="auto"/>
            <w:vAlign w:val="center"/>
          </w:tcPr>
          <w:p w:rsidR="00A81868" w:rsidRPr="00841B6F" w:rsidRDefault="00A81868" w:rsidP="00760ECD">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841B6F">
              <w:rPr>
                <w:rFonts w:ascii="Times New Roman" w:eastAsia="Times New Roman" w:hAnsi="Times New Roman" w:cs="Times New Roman"/>
                <w:noProof/>
                <w:color w:val="000000"/>
                <w:sz w:val="24"/>
                <w:szCs w:val="24"/>
                <w:lang w:val="sq-AL" w:eastAsia="sq-AL"/>
              </w:rPr>
              <w:t xml:space="preserve">Të dhënat e Anketës së </w:t>
            </w:r>
            <w:r w:rsidR="003F459B" w:rsidRPr="00841B6F">
              <w:rPr>
                <w:rFonts w:ascii="Times New Roman" w:eastAsia="Times New Roman" w:hAnsi="Times New Roman" w:cs="Times New Roman"/>
                <w:noProof/>
                <w:color w:val="000000"/>
                <w:sz w:val="24"/>
                <w:szCs w:val="24"/>
                <w:lang w:val="sq-AL" w:eastAsia="sq-AL"/>
              </w:rPr>
              <w:t>Bilancit te Energjisë Elektrike</w:t>
            </w:r>
            <w:r w:rsidRPr="00841B6F">
              <w:rPr>
                <w:rFonts w:ascii="Times New Roman" w:eastAsia="Times New Roman" w:hAnsi="Times New Roman" w:cs="Times New Roman"/>
                <w:noProof/>
                <w:color w:val="000000"/>
                <w:sz w:val="24"/>
                <w:szCs w:val="24"/>
                <w:lang w:val="sq-AL" w:eastAsia="sq-AL"/>
              </w:rPr>
              <w:t xml:space="preserve">, publikohen bazuar në kalendarin e publikimeve. Publikimi i </w:t>
            </w:r>
            <w:r w:rsidR="003F459B" w:rsidRPr="00841B6F">
              <w:rPr>
                <w:rFonts w:ascii="Times New Roman" w:eastAsia="Times New Roman" w:hAnsi="Times New Roman" w:cs="Times New Roman"/>
                <w:noProof/>
                <w:color w:val="000000"/>
                <w:sz w:val="24"/>
                <w:szCs w:val="24"/>
                <w:lang w:val="sq-AL" w:eastAsia="sq-AL"/>
              </w:rPr>
              <w:t>Bilancit te Energjisë Elektrike</w:t>
            </w:r>
            <w:r w:rsidRPr="00841B6F">
              <w:rPr>
                <w:rFonts w:ascii="Times New Roman" w:eastAsia="Times New Roman" w:hAnsi="Times New Roman" w:cs="Times New Roman"/>
                <w:noProof/>
                <w:color w:val="000000"/>
                <w:sz w:val="24"/>
                <w:szCs w:val="24"/>
                <w:lang w:val="sq-AL" w:eastAsia="sq-AL"/>
              </w:rPr>
              <w:t xml:space="preserve"> ka qenë i përpiktë në kohë në 100 % të publikimeve të kryera gjatë viteve. </w:t>
            </w:r>
          </w:p>
          <w:tbl>
            <w:tblPr>
              <w:tblW w:w="3960" w:type="dxa"/>
              <w:tblInd w:w="1077" w:type="dxa"/>
              <w:tblLayout w:type="fixed"/>
              <w:tblLook w:val="04A0" w:firstRow="1" w:lastRow="0" w:firstColumn="1" w:lastColumn="0" w:noHBand="0" w:noVBand="1"/>
            </w:tblPr>
            <w:tblGrid>
              <w:gridCol w:w="2340"/>
              <w:gridCol w:w="1620"/>
            </w:tblGrid>
            <w:tr w:rsidR="00D771EE" w:rsidRPr="00D771EE" w:rsidTr="00D771EE">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1EE" w:rsidRPr="00D771EE" w:rsidRDefault="00D771EE" w:rsidP="00D771EE">
                  <w:pPr>
                    <w:spacing w:after="0" w:line="240" w:lineRule="auto"/>
                    <w:rPr>
                      <w:rFonts w:ascii="Times New Roman" w:eastAsia="Times New Roman" w:hAnsi="Times New Roman" w:cs="Times New Roman"/>
                      <w:color w:val="000000"/>
                    </w:rPr>
                  </w:pPr>
                  <w:r w:rsidRPr="00D771EE">
                    <w:rPr>
                      <w:rFonts w:ascii="Times New Roman" w:eastAsia="Times New Roman" w:hAnsi="Times New Roman" w:cs="Times New Roman"/>
                      <w:color w:val="000000"/>
                    </w:rPr>
                    <w:t>Periudha referuese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D771EE">
                    <w:rPr>
                      <w:rFonts w:ascii="Times New Roman" w:eastAsia="Times New Roman" w:hAnsi="Times New Roman" w:cs="Times New Roman"/>
                      <w:color w:val="000000"/>
                    </w:rPr>
                    <w:t>2020</w:t>
                  </w:r>
                </w:p>
              </w:tc>
            </w:tr>
            <w:tr w:rsidR="00D771EE" w:rsidRPr="00D771EE" w:rsidTr="00D771EE">
              <w:trPr>
                <w:trHeight w:val="6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771EE" w:rsidRPr="00D771EE" w:rsidRDefault="00D771EE" w:rsidP="00D771EE">
                  <w:pPr>
                    <w:spacing w:after="0" w:line="240" w:lineRule="auto"/>
                    <w:rPr>
                      <w:rFonts w:ascii="Times New Roman" w:eastAsia="Times New Roman" w:hAnsi="Times New Roman" w:cs="Times New Roman"/>
                      <w:color w:val="000000"/>
                    </w:rPr>
                  </w:pPr>
                  <w:r w:rsidRPr="00D771EE">
                    <w:rPr>
                      <w:rFonts w:ascii="Times New Roman" w:eastAsia="Times New Roman" w:hAnsi="Times New Roman" w:cs="Times New Roman"/>
                      <w:color w:val="000000"/>
                    </w:rPr>
                    <w:t>Data e shpallur</w:t>
                  </w:r>
                </w:p>
              </w:tc>
              <w:tc>
                <w:tcPr>
                  <w:tcW w:w="1620" w:type="dxa"/>
                  <w:tcBorders>
                    <w:top w:val="nil"/>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sidRPr="00D771EE">
                    <w:rPr>
                      <w:rFonts w:ascii="Times New Roman" w:eastAsia="Times New Roman" w:hAnsi="Times New Roman" w:cs="Times New Roman"/>
                      <w:color w:val="000000"/>
                    </w:rPr>
                    <w:t>2021</w:t>
                  </w:r>
                </w:p>
              </w:tc>
            </w:tr>
            <w:tr w:rsidR="00D771EE" w:rsidRPr="00D771EE" w:rsidTr="00D771EE">
              <w:trPr>
                <w:trHeight w:val="6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D771EE" w:rsidRPr="00D771EE" w:rsidRDefault="00D771EE" w:rsidP="00D771EE">
                  <w:pPr>
                    <w:spacing w:after="0" w:line="240" w:lineRule="auto"/>
                    <w:rPr>
                      <w:rFonts w:ascii="Times New Roman" w:eastAsia="Times New Roman" w:hAnsi="Times New Roman" w:cs="Times New Roman"/>
                      <w:color w:val="000000"/>
                    </w:rPr>
                  </w:pPr>
                  <w:r w:rsidRPr="00D771EE">
                    <w:rPr>
                      <w:rFonts w:ascii="Times New Roman" w:eastAsia="Times New Roman" w:hAnsi="Times New Roman" w:cs="Times New Roman"/>
                      <w:color w:val="000000"/>
                    </w:rPr>
                    <w:t>Data e publikimit</w:t>
                  </w:r>
                </w:p>
              </w:tc>
              <w:tc>
                <w:tcPr>
                  <w:tcW w:w="1620" w:type="dxa"/>
                  <w:tcBorders>
                    <w:top w:val="nil"/>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sidRPr="00D771EE">
                    <w:rPr>
                      <w:rFonts w:ascii="Times New Roman" w:eastAsia="Times New Roman" w:hAnsi="Times New Roman" w:cs="Times New Roman"/>
                      <w:color w:val="000000"/>
                    </w:rPr>
                    <w:t>2021</w:t>
                  </w:r>
                </w:p>
              </w:tc>
            </w:tr>
            <w:tr w:rsidR="00D771EE" w:rsidRPr="00D771EE" w:rsidTr="00D771EE">
              <w:trPr>
                <w:trHeight w:val="6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rPr>
                      <w:rFonts w:ascii="Times New Roman" w:eastAsia="Times New Roman" w:hAnsi="Times New Roman" w:cs="Times New Roman"/>
                      <w:color w:val="000000"/>
                    </w:rPr>
                  </w:pPr>
                  <w:r w:rsidRPr="00D771EE">
                    <w:rPr>
                      <w:rFonts w:ascii="Times New Roman" w:eastAsia="Times New Roman" w:hAnsi="Times New Roman" w:cs="Times New Roman"/>
                      <w:color w:val="000000"/>
                    </w:rPr>
                    <w:t>Vonesa në kohë</w:t>
                  </w:r>
                </w:p>
              </w:tc>
              <w:tc>
                <w:tcPr>
                  <w:tcW w:w="1620" w:type="dxa"/>
                  <w:tcBorders>
                    <w:top w:val="nil"/>
                    <w:left w:val="nil"/>
                    <w:bottom w:val="single" w:sz="4" w:space="0" w:color="auto"/>
                    <w:right w:val="single" w:sz="4" w:space="0" w:color="auto"/>
                  </w:tcBorders>
                  <w:shd w:val="clear" w:color="auto" w:fill="auto"/>
                  <w:noWrap/>
                  <w:vAlign w:val="bottom"/>
                  <w:hideMark/>
                </w:tcPr>
                <w:p w:rsidR="00D771EE" w:rsidRPr="00D771EE" w:rsidRDefault="00D771EE" w:rsidP="00D771EE">
                  <w:pPr>
                    <w:spacing w:after="0" w:line="240" w:lineRule="auto"/>
                    <w:jc w:val="right"/>
                    <w:rPr>
                      <w:rFonts w:ascii="Times New Roman" w:eastAsia="Times New Roman" w:hAnsi="Times New Roman" w:cs="Times New Roman"/>
                      <w:color w:val="000000"/>
                    </w:rPr>
                  </w:pPr>
                  <w:r w:rsidRPr="00D771EE">
                    <w:rPr>
                      <w:rFonts w:ascii="Times New Roman" w:eastAsia="Times New Roman" w:hAnsi="Times New Roman" w:cs="Times New Roman"/>
                      <w:color w:val="000000"/>
                    </w:rPr>
                    <w:t>0</w:t>
                  </w:r>
                </w:p>
              </w:tc>
            </w:tr>
          </w:tbl>
          <w:p w:rsidR="007D023C" w:rsidRPr="00841B6F" w:rsidRDefault="007D023C" w:rsidP="009E5422">
            <w:pPr>
              <w:spacing w:before="240" w:after="240" w:line="240" w:lineRule="auto"/>
              <w:ind w:right="86"/>
              <w:jc w:val="both"/>
              <w:rPr>
                <w:rFonts w:ascii="Times New Roman" w:eastAsia="Times New Roman" w:hAnsi="Times New Roman" w:cs="Times New Roman"/>
                <w:noProof/>
                <w:color w:val="000000"/>
                <w:sz w:val="24"/>
                <w:szCs w:val="24"/>
                <w:lang w:val="sq-AL" w:eastAsia="sq-AL"/>
              </w:rPr>
            </w:pPr>
          </w:p>
        </w:tc>
      </w:tr>
      <w:tr w:rsidR="00BD6D4E" w:rsidRPr="00430D9B" w:rsidTr="005A5408">
        <w:trPr>
          <w:trHeight w:val="562"/>
        </w:trPr>
        <w:tc>
          <w:tcPr>
            <w:tcW w:w="10682" w:type="dxa"/>
            <w:gridSpan w:val="2"/>
            <w:shd w:val="clear" w:color="auto" w:fill="FBD4B4" w:themeFill="accent6" w:themeFillTint="66"/>
            <w:noWrap/>
            <w:vAlign w:val="center"/>
            <w:hideMark/>
          </w:tcPr>
          <w:p w:rsidR="00BD6D4E" w:rsidRPr="00E87B99" w:rsidRDefault="00BD6D4E" w:rsidP="00626614">
            <w:pPr>
              <w:pStyle w:val="Heading1"/>
              <w:spacing w:before="240" w:after="240" w:line="240" w:lineRule="auto"/>
              <w:ind w:left="101" w:right="86"/>
              <w:jc w:val="both"/>
              <w:rPr>
                <w:rFonts w:ascii="Times New Roman" w:eastAsia="Times New Roman" w:hAnsi="Times New Roman" w:cs="Times New Roman"/>
                <w:bCs w:val="0"/>
                <w:noProof/>
                <w:color w:val="000000"/>
                <w:sz w:val="24"/>
                <w:szCs w:val="24"/>
                <w:lang w:val="sq-AL" w:eastAsia="sq-AL"/>
              </w:rPr>
            </w:pPr>
            <w:bookmarkStart w:id="29" w:name="_Toc474418820"/>
            <w:bookmarkStart w:id="30" w:name="_Toc65224573"/>
            <w:r w:rsidRPr="00E87B99">
              <w:rPr>
                <w:rFonts w:ascii="Times New Roman" w:eastAsia="Times New Roman" w:hAnsi="Times New Roman" w:cs="Times New Roman"/>
                <w:bCs w:val="0"/>
                <w:noProof/>
                <w:color w:val="000000"/>
                <w:sz w:val="24"/>
                <w:szCs w:val="24"/>
                <w:lang w:val="sq-AL" w:eastAsia="sq-AL"/>
              </w:rPr>
              <w:t xml:space="preserve">15. </w:t>
            </w:r>
            <w:r w:rsidRPr="00E87B99">
              <w:rPr>
                <w:rFonts w:ascii="Times New Roman" w:eastAsia="Times New Roman" w:hAnsi="Times New Roman" w:cs="Times New Roman"/>
                <w:noProof/>
                <w:color w:val="000000" w:themeColor="text1"/>
                <w:sz w:val="24"/>
                <w:szCs w:val="24"/>
                <w:lang w:val="sq-AL" w:eastAsia="sq-AL"/>
              </w:rPr>
              <w:t>Koherenca dhe Krahasueshmëria</w:t>
            </w:r>
            <w:bookmarkEnd w:id="29"/>
            <w:bookmarkEnd w:id="30"/>
          </w:p>
        </w:tc>
      </w:tr>
      <w:tr w:rsidR="00BD6D4E" w:rsidRPr="0093731F" w:rsidTr="005A5408">
        <w:trPr>
          <w:trHeight w:val="562"/>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15.1. Krahasueshmëria gjeografike</w:t>
            </w:r>
          </w:p>
        </w:tc>
        <w:tc>
          <w:tcPr>
            <w:tcW w:w="8164" w:type="dxa"/>
            <w:shd w:val="clear" w:color="auto" w:fill="auto"/>
            <w:vAlign w:val="center"/>
          </w:tcPr>
          <w:p w:rsidR="00BD6D4E" w:rsidRPr="00D41EE4" w:rsidRDefault="00FE0ABE" w:rsidP="002217A0">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FE0ABE">
              <w:rPr>
                <w:rFonts w:ascii="Times New Roman" w:hAnsi="Times New Roman" w:cs="Times New Roman"/>
                <w:sz w:val="24"/>
                <w:lang w:val="sq-AL"/>
              </w:rPr>
              <w:t>Informacioni i të dhënave të Bilancit të Energjisë Elektrike është i krahasueshëm gjeografikisht sepse ato sigurohen nga burim</w:t>
            </w:r>
            <w:r w:rsidR="002217A0">
              <w:rPr>
                <w:rFonts w:ascii="Times New Roman" w:hAnsi="Times New Roman" w:cs="Times New Roman"/>
                <w:sz w:val="24"/>
                <w:lang w:val="sq-AL"/>
              </w:rPr>
              <w:t>e</w:t>
            </w:r>
            <w:r w:rsidRPr="00FE0ABE">
              <w:rPr>
                <w:rFonts w:ascii="Times New Roman" w:hAnsi="Times New Roman" w:cs="Times New Roman"/>
                <w:sz w:val="24"/>
                <w:lang w:val="sq-AL"/>
              </w:rPr>
              <w:t xml:space="preserve"> administrativ</w:t>
            </w:r>
            <w:r w:rsidR="002217A0">
              <w:rPr>
                <w:rFonts w:ascii="Times New Roman" w:hAnsi="Times New Roman" w:cs="Times New Roman"/>
                <w:sz w:val="24"/>
                <w:lang w:val="sq-AL"/>
              </w:rPr>
              <w:t>e</w:t>
            </w:r>
            <w:r w:rsidRPr="00FE0ABE">
              <w:rPr>
                <w:rFonts w:ascii="Times New Roman" w:hAnsi="Times New Roman" w:cs="Times New Roman"/>
                <w:sz w:val="24"/>
                <w:lang w:val="sq-AL"/>
              </w:rPr>
              <w:t>.</w:t>
            </w:r>
          </w:p>
        </w:tc>
      </w:tr>
      <w:tr w:rsidR="00BD6D4E" w:rsidRPr="0093731F" w:rsidTr="00760ECD">
        <w:trPr>
          <w:trHeight w:val="431"/>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15.2. Krahasueshmëria kohore </w:t>
            </w:r>
          </w:p>
        </w:tc>
        <w:tc>
          <w:tcPr>
            <w:tcW w:w="8164" w:type="dxa"/>
            <w:shd w:val="clear" w:color="auto" w:fill="auto"/>
            <w:vAlign w:val="center"/>
          </w:tcPr>
          <w:p w:rsidR="00BD6D4E" w:rsidRPr="008674B8" w:rsidRDefault="008674B8" w:rsidP="00804CF8">
            <w:pPr>
              <w:pStyle w:val="TableParagraph"/>
              <w:spacing w:before="120" w:after="120"/>
              <w:ind w:left="101" w:right="86"/>
              <w:jc w:val="both"/>
              <w:rPr>
                <w:sz w:val="24"/>
                <w:highlight w:val="yellow"/>
                <w:lang w:val="sq-AL"/>
              </w:rPr>
            </w:pPr>
            <w:r w:rsidRPr="002857E2">
              <w:rPr>
                <w:sz w:val="24"/>
                <w:lang w:val="sq-AL"/>
              </w:rPr>
              <w:t>Statistikat e Bilancit të Energjisë E</w:t>
            </w:r>
            <w:r w:rsidR="00E66AD0" w:rsidRPr="002857E2">
              <w:rPr>
                <w:sz w:val="24"/>
                <w:lang w:val="sq-AL"/>
              </w:rPr>
              <w:t xml:space="preserve">lektrike </w:t>
            </w:r>
            <w:r w:rsidRPr="002857E2">
              <w:rPr>
                <w:sz w:val="24"/>
                <w:lang w:val="sq-AL"/>
              </w:rPr>
              <w:t>datojnë</w:t>
            </w:r>
            <w:r w:rsidR="00E66AD0" w:rsidRPr="002857E2">
              <w:rPr>
                <w:sz w:val="24"/>
                <w:lang w:val="sq-AL"/>
              </w:rPr>
              <w:t xml:space="preserve"> </w:t>
            </w:r>
            <w:r w:rsidRPr="002857E2">
              <w:rPr>
                <w:sz w:val="24"/>
                <w:lang w:val="sq-AL"/>
              </w:rPr>
              <w:t xml:space="preserve">që </w:t>
            </w:r>
            <w:r w:rsidR="00E66AD0" w:rsidRPr="002857E2">
              <w:rPr>
                <w:sz w:val="24"/>
                <w:lang w:val="sq-AL"/>
              </w:rPr>
              <w:t>nga viti 1993</w:t>
            </w:r>
            <w:r w:rsidRPr="002857E2">
              <w:rPr>
                <w:sz w:val="24"/>
                <w:lang w:val="sq-AL"/>
              </w:rPr>
              <w:t xml:space="preserve">. Të dhënat nga viti 2000 </w:t>
            </w:r>
            <w:r w:rsidR="00E66AD0" w:rsidRPr="002857E2">
              <w:rPr>
                <w:sz w:val="24"/>
                <w:lang w:val="sq-AL"/>
              </w:rPr>
              <w:t>janë më të krahasueshme</w:t>
            </w:r>
            <w:r w:rsidRPr="002857E2">
              <w:rPr>
                <w:sz w:val="24"/>
                <w:lang w:val="sq-AL"/>
              </w:rPr>
              <w:t xml:space="preserve"> në seri kohore</w:t>
            </w:r>
            <w:r w:rsidR="00804CF8">
              <w:t>, duke na garantuar një</w:t>
            </w:r>
            <w:r w:rsidR="00BD463B">
              <w:t xml:space="preserve"> </w:t>
            </w:r>
            <w:r w:rsidR="00804CF8">
              <w:t xml:space="preserve">krahasueshmeri prej 21 vitesh </w:t>
            </w:r>
            <w:r w:rsidRPr="002857E2">
              <w:t xml:space="preserve"> </w:t>
            </w:r>
            <w:r w:rsidRPr="002857E2">
              <w:rPr>
                <w:sz w:val="24"/>
                <w:lang w:val="sq-AL"/>
              </w:rPr>
              <w:t>(CC2=Jlast-Jfirst+1=</w:t>
            </w:r>
            <w:r w:rsidR="00804CF8">
              <w:rPr>
                <w:sz w:val="24"/>
                <w:lang w:val="sq-AL"/>
              </w:rPr>
              <w:t>21</w:t>
            </w:r>
            <w:r w:rsidRPr="002857E2">
              <w:rPr>
                <w:sz w:val="24"/>
                <w:lang w:val="sq-AL"/>
              </w:rPr>
              <w:t>).</w:t>
            </w:r>
          </w:p>
        </w:tc>
      </w:tr>
      <w:tr w:rsidR="00BD6D4E" w:rsidRPr="0093731F" w:rsidTr="00A112B8">
        <w:trPr>
          <w:trHeight w:val="567"/>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15.3. Koherenca e ndërthurjes së fushave</w:t>
            </w:r>
          </w:p>
        </w:tc>
        <w:tc>
          <w:tcPr>
            <w:tcW w:w="8164" w:type="dxa"/>
            <w:shd w:val="clear" w:color="auto" w:fill="auto"/>
            <w:noWrap/>
            <w:vAlign w:val="center"/>
            <w:hideMark/>
          </w:tcPr>
          <w:p w:rsidR="00BD6D4E" w:rsidRPr="008674B8" w:rsidRDefault="00E66AD0" w:rsidP="008149D7">
            <w:pPr>
              <w:spacing w:before="120" w:after="120" w:line="240" w:lineRule="auto"/>
              <w:ind w:left="101" w:right="86"/>
              <w:jc w:val="both"/>
              <w:rPr>
                <w:rFonts w:ascii="Times New Roman" w:eastAsia="Times New Roman" w:hAnsi="Times New Roman" w:cs="Times New Roman"/>
                <w:noProof/>
                <w:color w:val="000000"/>
                <w:sz w:val="24"/>
                <w:szCs w:val="24"/>
                <w:highlight w:val="yellow"/>
                <w:lang w:val="sq-AL" w:eastAsia="sq-AL"/>
              </w:rPr>
            </w:pPr>
            <w:r w:rsidRPr="002857E2">
              <w:rPr>
                <w:rFonts w:ascii="Times New Roman" w:hAnsi="Times New Roman" w:cs="Times New Roman"/>
                <w:sz w:val="24"/>
                <w:lang w:val="de-DE"/>
              </w:rPr>
              <w:t xml:space="preserve">Nuk </w:t>
            </w:r>
            <w:r w:rsidR="00517F3D" w:rsidRPr="002857E2">
              <w:rPr>
                <w:rFonts w:ascii="Times New Roman" w:hAnsi="Times New Roman" w:cs="Times New Roman"/>
                <w:sz w:val="24"/>
                <w:lang w:val="de-DE"/>
              </w:rPr>
              <w:t>aplikohet.</w:t>
            </w:r>
          </w:p>
        </w:tc>
      </w:tr>
      <w:tr w:rsidR="00BD6D4E" w:rsidRPr="0093731F" w:rsidTr="005A5408">
        <w:trPr>
          <w:trHeight w:val="845"/>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 xml:space="preserve">15.4. Koherenca e brendshme </w:t>
            </w:r>
          </w:p>
        </w:tc>
        <w:tc>
          <w:tcPr>
            <w:tcW w:w="8164" w:type="dxa"/>
            <w:shd w:val="clear" w:color="auto" w:fill="auto"/>
            <w:vAlign w:val="center"/>
          </w:tcPr>
          <w:p w:rsidR="00BD6D4E" w:rsidRPr="00841B6F" w:rsidRDefault="00746C7E" w:rsidP="005A5408">
            <w:pPr>
              <w:pStyle w:val="TableParagraph"/>
              <w:tabs>
                <w:tab w:val="left" w:pos="1461"/>
                <w:tab w:val="left" w:pos="2953"/>
                <w:tab w:val="left" w:pos="4114"/>
                <w:tab w:val="left" w:pos="4942"/>
                <w:tab w:val="left" w:pos="5692"/>
                <w:tab w:val="left" w:pos="6904"/>
              </w:tabs>
              <w:spacing w:before="200" w:after="200"/>
              <w:ind w:left="101" w:right="86"/>
              <w:jc w:val="both"/>
              <w:rPr>
                <w:noProof/>
                <w:color w:val="000000"/>
                <w:sz w:val="24"/>
                <w:szCs w:val="24"/>
                <w:lang w:val="sq-AL" w:eastAsia="sq-AL" w:bidi="ar-SA"/>
              </w:rPr>
            </w:pPr>
            <w:r w:rsidRPr="00841B6F">
              <w:rPr>
                <w:noProof/>
                <w:color w:val="000000"/>
                <w:sz w:val="24"/>
                <w:szCs w:val="24"/>
                <w:lang w:val="sq-AL" w:eastAsia="sq-AL" w:bidi="ar-SA"/>
              </w:rPr>
              <w:t xml:space="preserve">Konsistenca e </w:t>
            </w:r>
            <w:r w:rsidR="00E66AD0" w:rsidRPr="00841B6F">
              <w:rPr>
                <w:noProof/>
                <w:color w:val="000000"/>
                <w:sz w:val="24"/>
                <w:szCs w:val="24"/>
                <w:lang w:val="sq-AL" w:eastAsia="sq-AL" w:bidi="ar-SA"/>
              </w:rPr>
              <w:t>brendshme e të dhënave kontrollohen para se të finalizohen.</w:t>
            </w:r>
            <w:r w:rsidR="005E1F84">
              <w:rPr>
                <w:noProof/>
                <w:color w:val="000000"/>
                <w:sz w:val="24"/>
                <w:szCs w:val="24"/>
                <w:lang w:val="sq-AL" w:eastAsia="sq-AL" w:bidi="ar-SA"/>
              </w:rPr>
              <w:t xml:space="preserve"> </w:t>
            </w:r>
            <w:r w:rsidR="00E66AD0" w:rsidRPr="00841B6F">
              <w:rPr>
                <w:noProof/>
                <w:color w:val="000000"/>
                <w:sz w:val="24"/>
                <w:szCs w:val="24"/>
                <w:lang w:val="sq-AL" w:eastAsia="sq-AL" w:bidi="ar-SA"/>
              </w:rPr>
              <w:t>Kontrollohen gjithashtu lidhjet midis variablave dhe koherenca në serinë e tyre.</w:t>
            </w:r>
          </w:p>
        </w:tc>
      </w:tr>
      <w:tr w:rsidR="00BD6D4E" w:rsidRPr="0093731F" w:rsidTr="0093731F">
        <w:trPr>
          <w:trHeight w:val="221"/>
        </w:trPr>
        <w:tc>
          <w:tcPr>
            <w:tcW w:w="2518" w:type="dxa"/>
            <w:shd w:val="clear" w:color="auto" w:fill="FBD4B4" w:themeFill="accent6" w:themeFillTint="66"/>
            <w:vAlign w:val="center"/>
            <w:hideMark/>
          </w:tcPr>
          <w:p w:rsidR="00BD6D4E" w:rsidRPr="007251CF" w:rsidRDefault="00BD6D4E" w:rsidP="00767F0B">
            <w:pPr>
              <w:pStyle w:val="Heading1"/>
              <w:spacing w:before="0"/>
              <w:rPr>
                <w:rFonts w:ascii="Times New Roman" w:eastAsia="Times New Roman" w:hAnsi="Times New Roman" w:cs="Times New Roman"/>
                <w:b w:val="0"/>
                <w:noProof/>
                <w:color w:val="000000"/>
                <w:sz w:val="24"/>
                <w:szCs w:val="24"/>
                <w:lang w:val="sq-AL" w:eastAsia="sq-AL"/>
              </w:rPr>
            </w:pPr>
            <w:bookmarkStart w:id="31" w:name="_Toc474418821"/>
            <w:bookmarkStart w:id="32" w:name="_Toc65224574"/>
            <w:r w:rsidRPr="00767F0B">
              <w:rPr>
                <w:rFonts w:ascii="Times New Roman" w:eastAsia="Times New Roman" w:hAnsi="Times New Roman" w:cs="Times New Roman"/>
                <w:bCs w:val="0"/>
                <w:noProof/>
                <w:color w:val="000000"/>
                <w:sz w:val="24"/>
                <w:szCs w:val="24"/>
                <w:lang w:val="sq-AL" w:eastAsia="sq-AL"/>
              </w:rPr>
              <w:t>16</w:t>
            </w:r>
            <w:r w:rsidRPr="007251CF">
              <w:rPr>
                <w:rFonts w:ascii="Times New Roman" w:eastAsia="Times New Roman" w:hAnsi="Times New Roman" w:cs="Times New Roman"/>
                <w:noProof/>
                <w:color w:val="000000"/>
                <w:sz w:val="24"/>
                <w:szCs w:val="24"/>
                <w:lang w:val="sq-AL" w:eastAsia="sq-AL"/>
              </w:rPr>
              <w:t>. Kostoja dhe ngarkesa</w:t>
            </w:r>
            <w:bookmarkEnd w:id="31"/>
            <w:bookmarkEnd w:id="32"/>
          </w:p>
        </w:tc>
        <w:tc>
          <w:tcPr>
            <w:tcW w:w="8164" w:type="dxa"/>
            <w:shd w:val="clear" w:color="auto" w:fill="auto"/>
            <w:vAlign w:val="center"/>
          </w:tcPr>
          <w:p w:rsidR="00BD6D4E" w:rsidRPr="00841B6F" w:rsidRDefault="00E66AD0" w:rsidP="008149D7">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841B6F">
              <w:rPr>
                <w:rFonts w:ascii="Times New Roman" w:eastAsia="Times New Roman" w:hAnsi="Times New Roman" w:cs="Times New Roman"/>
                <w:noProof/>
                <w:color w:val="000000"/>
                <w:sz w:val="24"/>
                <w:szCs w:val="24"/>
                <w:lang w:val="sq-AL" w:eastAsia="sq-AL"/>
              </w:rPr>
              <w:t>Për të hartuar dhe prodhuar bilancin e energjisë elektrike, punon vetëm një punonjës. Kostot e prodhimit të bilancit të energjisë elektrike janë minimale duke qënë se për mbledhjen e të dhënave përdoret shkresa zyrtare (nëpërmjet postës) dhe me anë të email-it.</w:t>
            </w:r>
          </w:p>
        </w:tc>
      </w:tr>
      <w:tr w:rsidR="00BD6D4E" w:rsidRPr="00430D9B" w:rsidTr="008149D7">
        <w:trPr>
          <w:trHeight w:val="746"/>
        </w:trPr>
        <w:tc>
          <w:tcPr>
            <w:tcW w:w="10682" w:type="dxa"/>
            <w:gridSpan w:val="2"/>
            <w:shd w:val="clear" w:color="auto" w:fill="FBD4B4" w:themeFill="accent6" w:themeFillTint="66"/>
            <w:vAlign w:val="center"/>
            <w:hideMark/>
          </w:tcPr>
          <w:p w:rsidR="00BD6D4E" w:rsidRPr="00E87B99" w:rsidRDefault="00BD6D4E" w:rsidP="00EF6AD6">
            <w:pPr>
              <w:pStyle w:val="Heading1"/>
              <w:spacing w:before="0"/>
              <w:rPr>
                <w:rFonts w:ascii="Times New Roman" w:eastAsia="Times New Roman" w:hAnsi="Times New Roman" w:cs="Times New Roman"/>
                <w:noProof/>
                <w:color w:val="000000"/>
                <w:sz w:val="24"/>
                <w:szCs w:val="24"/>
                <w:lang w:val="sq-AL" w:eastAsia="sq-AL"/>
              </w:rPr>
            </w:pPr>
            <w:bookmarkStart w:id="33" w:name="_Toc474418822"/>
            <w:bookmarkStart w:id="34" w:name="_Toc65224575"/>
            <w:r w:rsidRPr="00E87B99">
              <w:rPr>
                <w:rFonts w:ascii="Times New Roman" w:eastAsia="Times New Roman" w:hAnsi="Times New Roman" w:cs="Times New Roman"/>
                <w:bCs w:val="0"/>
                <w:noProof/>
                <w:color w:val="000000"/>
                <w:sz w:val="24"/>
                <w:szCs w:val="24"/>
                <w:lang w:val="sq-AL" w:eastAsia="sq-AL"/>
              </w:rPr>
              <w:t xml:space="preserve">17. </w:t>
            </w:r>
            <w:r w:rsidRPr="00E87B99">
              <w:rPr>
                <w:rFonts w:ascii="Times New Roman" w:eastAsia="Times New Roman" w:hAnsi="Times New Roman" w:cs="Times New Roman"/>
                <w:noProof/>
                <w:color w:val="000000" w:themeColor="text1"/>
                <w:sz w:val="24"/>
                <w:szCs w:val="24"/>
                <w:lang w:val="sq-AL" w:eastAsia="sq-AL"/>
              </w:rPr>
              <w:t>Rishikimi i të dhënave</w:t>
            </w:r>
            <w:bookmarkEnd w:id="33"/>
            <w:bookmarkEnd w:id="34"/>
          </w:p>
        </w:tc>
      </w:tr>
      <w:tr w:rsidR="00BD6D4E" w:rsidRPr="0093731F" w:rsidTr="005A5408">
        <w:trPr>
          <w:trHeight w:val="1826"/>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17.1. Politika e rishikimit</w:t>
            </w:r>
          </w:p>
        </w:tc>
        <w:tc>
          <w:tcPr>
            <w:tcW w:w="8164" w:type="dxa"/>
            <w:shd w:val="clear" w:color="auto" w:fill="auto"/>
            <w:vAlign w:val="center"/>
          </w:tcPr>
          <w:p w:rsidR="004B502B" w:rsidRDefault="00E66AD0" w:rsidP="005A5408">
            <w:pPr>
              <w:pStyle w:val="TableParagraph"/>
              <w:spacing w:before="240"/>
              <w:ind w:left="101" w:right="86"/>
              <w:jc w:val="both"/>
              <w:rPr>
                <w:sz w:val="24"/>
                <w:szCs w:val="24"/>
              </w:rPr>
            </w:pPr>
            <w:r w:rsidRPr="0093731F">
              <w:rPr>
                <w:sz w:val="24"/>
                <w:szCs w:val="24"/>
                <w:lang w:val="sq-AL"/>
              </w:rPr>
              <w:t>Politikat e rishikimit të bilancit të energjisë elektrike bëhen në përputhje me politikën e rishikimit si dhe politikën e trajtimit të gabimeve të vendosura nga INSTAT.</w:t>
            </w:r>
            <w:r w:rsidR="005A5408">
              <w:rPr>
                <w:sz w:val="24"/>
                <w:szCs w:val="24"/>
                <w:lang w:val="sq-AL"/>
              </w:rPr>
              <w:t xml:space="preserve"> </w:t>
            </w:r>
            <w:r w:rsidRPr="00D41EE4">
              <w:rPr>
                <w:sz w:val="24"/>
                <w:szCs w:val="24"/>
              </w:rPr>
              <w:t xml:space="preserve">Për më shumë referohuni: </w:t>
            </w:r>
          </w:p>
          <w:p w:rsidR="004B502B" w:rsidRDefault="00807C82" w:rsidP="004E4A9C">
            <w:pPr>
              <w:pStyle w:val="TableParagraph"/>
              <w:numPr>
                <w:ilvl w:val="0"/>
                <w:numId w:val="4"/>
              </w:numPr>
              <w:ind w:right="86"/>
              <w:jc w:val="both"/>
              <w:rPr>
                <w:sz w:val="24"/>
                <w:szCs w:val="24"/>
              </w:rPr>
            </w:pPr>
            <w:hyperlink r:id="rId24" w:history="1">
              <w:r w:rsidR="004B502B" w:rsidRPr="004B502B">
                <w:rPr>
                  <w:rStyle w:val="Hyperlink"/>
                  <w:sz w:val="24"/>
                  <w:szCs w:val="24"/>
                </w:rPr>
                <w:t>Politika e revizionimit</w:t>
              </w:r>
            </w:hyperlink>
          </w:p>
          <w:p w:rsidR="00BD6D4E" w:rsidRPr="0093731F" w:rsidRDefault="00807C82" w:rsidP="0093731F">
            <w:pPr>
              <w:pStyle w:val="TableParagraph"/>
              <w:numPr>
                <w:ilvl w:val="0"/>
                <w:numId w:val="4"/>
              </w:numPr>
              <w:spacing w:after="240"/>
              <w:ind w:right="86"/>
              <w:jc w:val="both"/>
              <w:rPr>
                <w:sz w:val="24"/>
                <w:szCs w:val="24"/>
                <w:lang w:val="de-DE"/>
              </w:rPr>
            </w:pPr>
            <w:hyperlink r:id="rId25" w:history="1">
              <w:r w:rsidR="004B502B" w:rsidRPr="0093731F">
                <w:rPr>
                  <w:rStyle w:val="Hyperlink"/>
                  <w:sz w:val="24"/>
                  <w:szCs w:val="24"/>
                  <w:lang w:val="de-DE"/>
                </w:rPr>
                <w:t>Politika e trajtimit të gabimeve</w:t>
              </w:r>
            </w:hyperlink>
          </w:p>
        </w:tc>
      </w:tr>
      <w:tr w:rsidR="00BD6D4E" w:rsidRPr="0093731F" w:rsidTr="008149D7">
        <w:trPr>
          <w:trHeight w:val="1439"/>
        </w:trPr>
        <w:tc>
          <w:tcPr>
            <w:tcW w:w="2518" w:type="dxa"/>
            <w:shd w:val="clear" w:color="auto" w:fill="FFFFCC"/>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 xml:space="preserve">17.2. Praktika e rishikimit  </w:t>
            </w:r>
          </w:p>
        </w:tc>
        <w:tc>
          <w:tcPr>
            <w:tcW w:w="8164" w:type="dxa"/>
            <w:shd w:val="clear" w:color="auto" w:fill="auto"/>
            <w:vAlign w:val="center"/>
          </w:tcPr>
          <w:p w:rsidR="00E66AD0" w:rsidRPr="0093731F" w:rsidRDefault="00E66AD0" w:rsidP="008149D7">
            <w:pPr>
              <w:pStyle w:val="TableParagraph"/>
              <w:spacing w:before="120" w:after="120"/>
              <w:ind w:left="101" w:right="86"/>
              <w:jc w:val="both"/>
              <w:rPr>
                <w:sz w:val="24"/>
                <w:szCs w:val="24"/>
                <w:lang w:val="sq-AL"/>
              </w:rPr>
            </w:pPr>
            <w:r w:rsidRPr="0093731F">
              <w:rPr>
                <w:sz w:val="24"/>
                <w:szCs w:val="24"/>
                <w:lang w:val="sq-AL"/>
              </w:rPr>
              <w:t>Të dhënat e energjisë elektrike rishikohen në rastet kur ka njoftime për ndryshime nga raportimet e operatorëve.</w:t>
            </w:r>
          </w:p>
          <w:p w:rsidR="00BD6D4E" w:rsidRPr="0093731F" w:rsidRDefault="00E66AD0" w:rsidP="008149D7">
            <w:pPr>
              <w:pStyle w:val="TableParagraph"/>
              <w:spacing w:before="120" w:after="120"/>
              <w:ind w:left="101" w:right="86"/>
              <w:jc w:val="both"/>
              <w:rPr>
                <w:sz w:val="24"/>
                <w:szCs w:val="24"/>
                <w:lang w:val="sq-AL"/>
              </w:rPr>
            </w:pPr>
            <w:r w:rsidRPr="0093731F">
              <w:rPr>
                <w:sz w:val="24"/>
                <w:szCs w:val="24"/>
                <w:lang w:val="sq-AL"/>
              </w:rPr>
              <w:t>Të gjitha rishikimet janë bërë transparente për përdoruesit dhe janë pjesë e çdo botimi.</w:t>
            </w:r>
          </w:p>
        </w:tc>
      </w:tr>
      <w:tr w:rsidR="00BD6D4E" w:rsidRPr="00430D9B" w:rsidTr="0093731F">
        <w:trPr>
          <w:trHeight w:val="221"/>
        </w:trPr>
        <w:tc>
          <w:tcPr>
            <w:tcW w:w="10682" w:type="dxa"/>
            <w:gridSpan w:val="2"/>
            <w:shd w:val="clear" w:color="auto" w:fill="FBD4B4" w:themeFill="accent6" w:themeFillTint="66"/>
            <w:vAlign w:val="center"/>
            <w:hideMark/>
          </w:tcPr>
          <w:p w:rsidR="00BD6D4E" w:rsidRPr="00E87B99" w:rsidRDefault="00BD6D4E" w:rsidP="00E87B99">
            <w:pPr>
              <w:pStyle w:val="Heading1"/>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bookmarkStart w:id="35" w:name="_Toc474418823"/>
            <w:bookmarkStart w:id="36" w:name="_Toc65224576"/>
            <w:r w:rsidRPr="00E87B99">
              <w:rPr>
                <w:rFonts w:ascii="Times New Roman" w:eastAsia="Times New Roman" w:hAnsi="Times New Roman" w:cs="Times New Roman"/>
                <w:bCs w:val="0"/>
                <w:noProof/>
                <w:color w:val="000000"/>
                <w:sz w:val="24"/>
                <w:szCs w:val="24"/>
                <w:lang w:val="sq-AL" w:eastAsia="sq-AL"/>
              </w:rPr>
              <w:t xml:space="preserve">18. </w:t>
            </w:r>
            <w:r w:rsidRPr="00E87B99">
              <w:rPr>
                <w:rFonts w:ascii="Times New Roman" w:eastAsia="Times New Roman" w:hAnsi="Times New Roman" w:cs="Times New Roman"/>
                <w:noProof/>
                <w:color w:val="000000" w:themeColor="text1"/>
                <w:sz w:val="24"/>
                <w:szCs w:val="24"/>
                <w:lang w:val="sq-AL" w:eastAsia="sq-AL"/>
              </w:rPr>
              <w:t>Përpunimi statistikor</w:t>
            </w:r>
            <w:bookmarkEnd w:id="35"/>
            <w:bookmarkEnd w:id="36"/>
          </w:p>
        </w:tc>
      </w:tr>
      <w:tr w:rsidR="00BD6D4E" w:rsidRPr="00430D9B" w:rsidTr="0093731F">
        <w:trPr>
          <w:trHeight w:val="221"/>
        </w:trPr>
        <w:tc>
          <w:tcPr>
            <w:tcW w:w="2518"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18.1. Burimi i të dhënave </w:t>
            </w:r>
          </w:p>
        </w:tc>
        <w:tc>
          <w:tcPr>
            <w:tcW w:w="8164" w:type="dxa"/>
            <w:shd w:val="clear" w:color="auto" w:fill="auto"/>
            <w:vAlign w:val="center"/>
          </w:tcPr>
          <w:p w:rsidR="00E66AD0" w:rsidRPr="0093731F" w:rsidRDefault="00E66AD0" w:rsidP="00CC5C18">
            <w:pPr>
              <w:pStyle w:val="TableParagraph"/>
              <w:spacing w:before="240" w:after="240"/>
              <w:ind w:left="101" w:right="86"/>
              <w:jc w:val="both"/>
              <w:rPr>
                <w:sz w:val="24"/>
                <w:lang w:val="sq-AL"/>
              </w:rPr>
            </w:pPr>
            <w:r w:rsidRPr="0093731F">
              <w:rPr>
                <w:sz w:val="24"/>
                <w:lang w:val="sq-AL"/>
              </w:rPr>
              <w:t>Si burim i vetëm i mbledhjes së të dhënave janë të dhënat administrative të siguruara nga tre operatorët që operojnë në fushën e energjisë</w:t>
            </w:r>
            <w:r w:rsidRPr="0093731F">
              <w:rPr>
                <w:spacing w:val="-15"/>
                <w:sz w:val="24"/>
                <w:lang w:val="sq-AL"/>
              </w:rPr>
              <w:t xml:space="preserve"> </w:t>
            </w:r>
            <w:r w:rsidRPr="0093731F">
              <w:rPr>
                <w:sz w:val="24"/>
                <w:lang w:val="sq-AL"/>
              </w:rPr>
              <w:t>elektrike:</w:t>
            </w:r>
          </w:p>
          <w:p w:rsidR="00E66AD0" w:rsidRPr="0093731F" w:rsidRDefault="00327C25" w:rsidP="00292FD9">
            <w:pPr>
              <w:pStyle w:val="TableParagraph"/>
              <w:numPr>
                <w:ilvl w:val="0"/>
                <w:numId w:val="8"/>
              </w:numPr>
              <w:tabs>
                <w:tab w:val="left" w:pos="282"/>
              </w:tabs>
              <w:ind w:right="86"/>
              <w:jc w:val="both"/>
              <w:rPr>
                <w:sz w:val="24"/>
                <w:lang w:val="sq-AL"/>
              </w:rPr>
            </w:pPr>
            <w:r w:rsidRPr="0093731F">
              <w:rPr>
                <w:sz w:val="24"/>
                <w:lang w:val="sq-AL"/>
              </w:rPr>
              <w:t xml:space="preserve">  </w:t>
            </w:r>
            <w:r w:rsidR="00403C24" w:rsidRPr="0093731F">
              <w:rPr>
                <w:sz w:val="24"/>
                <w:lang w:val="sq-AL"/>
              </w:rPr>
              <w:t xml:space="preserve"> </w:t>
            </w:r>
            <w:r w:rsidR="00E66AD0" w:rsidRPr="0093731F">
              <w:rPr>
                <w:sz w:val="24"/>
                <w:lang w:val="sq-AL"/>
              </w:rPr>
              <w:t>KESH sh.a që prodhon, transformon dhe kryen shitjen dhe blerjen e energjisë</w:t>
            </w:r>
            <w:r w:rsidR="00403C24" w:rsidRPr="0093731F">
              <w:rPr>
                <w:spacing w:val="-2"/>
                <w:sz w:val="24"/>
                <w:lang w:val="sq-AL"/>
              </w:rPr>
              <w:t xml:space="preserve"> </w:t>
            </w:r>
            <w:r w:rsidR="00E66AD0" w:rsidRPr="0093731F">
              <w:rPr>
                <w:sz w:val="24"/>
                <w:lang w:val="sq-AL"/>
              </w:rPr>
              <w:t>elektrike;</w:t>
            </w:r>
          </w:p>
          <w:p w:rsidR="00CC5C18" w:rsidRPr="0093731F" w:rsidRDefault="00327C25" w:rsidP="00292FD9">
            <w:pPr>
              <w:pStyle w:val="TableParagraph"/>
              <w:numPr>
                <w:ilvl w:val="0"/>
                <w:numId w:val="8"/>
              </w:numPr>
              <w:tabs>
                <w:tab w:val="left" w:pos="267"/>
              </w:tabs>
              <w:ind w:right="86"/>
              <w:jc w:val="both"/>
              <w:rPr>
                <w:sz w:val="24"/>
                <w:lang w:val="sq-AL"/>
              </w:rPr>
            </w:pPr>
            <w:r w:rsidRPr="0093731F">
              <w:rPr>
                <w:sz w:val="24"/>
                <w:lang w:val="sq-AL"/>
              </w:rPr>
              <w:t xml:space="preserve">   </w:t>
            </w:r>
            <w:r w:rsidR="00E66AD0" w:rsidRPr="0093731F">
              <w:rPr>
                <w:sz w:val="24"/>
                <w:lang w:val="sq-AL"/>
              </w:rPr>
              <w:t>OSHEE sh.a që kryen furnizimin, shitjen e energjisë elektrike si edhe operimin dhe menaxhimin e rrjetit të shpërndarjes;</w:t>
            </w:r>
          </w:p>
          <w:p w:rsidR="00BD6D4E" w:rsidRPr="00CC5C18" w:rsidRDefault="00327C25" w:rsidP="0093731F">
            <w:pPr>
              <w:pStyle w:val="TableParagraph"/>
              <w:numPr>
                <w:ilvl w:val="0"/>
                <w:numId w:val="8"/>
              </w:numPr>
              <w:tabs>
                <w:tab w:val="left" w:pos="267"/>
              </w:tabs>
              <w:spacing w:after="240"/>
              <w:ind w:right="86"/>
              <w:jc w:val="both"/>
              <w:rPr>
                <w:sz w:val="24"/>
              </w:rPr>
            </w:pPr>
            <w:r w:rsidRPr="0093731F">
              <w:rPr>
                <w:sz w:val="24"/>
                <w:lang w:val="sq-AL"/>
              </w:rPr>
              <w:t xml:space="preserve">   </w:t>
            </w:r>
            <w:r w:rsidR="00CC5C18" w:rsidRPr="0093731F">
              <w:rPr>
                <w:sz w:val="24"/>
                <w:lang w:val="sq-AL"/>
              </w:rPr>
              <w:t xml:space="preserve">OST sh.a që operon në sistemin e transmetimit të energjisë elektrike nga pikëpamja fizike dhe e shpërndarjes. </w:t>
            </w:r>
            <w:r w:rsidR="00CC5C18" w:rsidRPr="00D41EE4">
              <w:rPr>
                <w:sz w:val="24"/>
              </w:rPr>
              <w:t>OST sh.a garanton kapacitetet e nevojshme</w:t>
            </w:r>
            <w:r w:rsidR="00CC5C18" w:rsidRPr="00403C24">
              <w:rPr>
                <w:sz w:val="24"/>
              </w:rPr>
              <w:t xml:space="preserve"> </w:t>
            </w:r>
            <w:r w:rsidR="00CC5C18" w:rsidRPr="00D41EE4">
              <w:rPr>
                <w:sz w:val="24"/>
              </w:rPr>
              <w:t>transmetuese.</w:t>
            </w:r>
          </w:p>
        </w:tc>
      </w:tr>
      <w:tr w:rsidR="00BD6D4E" w:rsidRPr="00430D9B" w:rsidTr="007251CF">
        <w:trPr>
          <w:trHeight w:val="881"/>
        </w:trPr>
        <w:tc>
          <w:tcPr>
            <w:tcW w:w="2518"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18.2. Shpeshtësia e grumbullimit të të dhënave</w:t>
            </w:r>
          </w:p>
        </w:tc>
        <w:tc>
          <w:tcPr>
            <w:tcW w:w="8164" w:type="dxa"/>
            <w:shd w:val="clear" w:color="auto" w:fill="auto"/>
            <w:noWrap/>
            <w:vAlign w:val="center"/>
            <w:hideMark/>
          </w:tcPr>
          <w:p w:rsidR="00BD6D4E" w:rsidRPr="00D41EE4" w:rsidRDefault="00E66AD0"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D41EE4">
              <w:rPr>
                <w:rFonts w:ascii="Times New Roman" w:hAnsi="Times New Roman" w:cs="Times New Roman"/>
                <w:sz w:val="24"/>
              </w:rPr>
              <w:t>Të dhënat grumbullohen në baza tremujore dhe vjetore, me detajime mujore të grumbulluara prej burimeve administrative.</w:t>
            </w:r>
          </w:p>
        </w:tc>
      </w:tr>
      <w:tr w:rsidR="00BD6D4E" w:rsidRPr="0093731F" w:rsidTr="007251CF">
        <w:trPr>
          <w:trHeight w:val="836"/>
        </w:trPr>
        <w:tc>
          <w:tcPr>
            <w:tcW w:w="2518"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18.3. Grumbullimi i të dhënave</w:t>
            </w:r>
          </w:p>
        </w:tc>
        <w:tc>
          <w:tcPr>
            <w:tcW w:w="8164" w:type="dxa"/>
            <w:shd w:val="clear" w:color="auto" w:fill="auto"/>
            <w:vAlign w:val="center"/>
          </w:tcPr>
          <w:p w:rsidR="00BD6D4E" w:rsidRPr="00D41EE4" w:rsidRDefault="00E66AD0"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93731F">
              <w:rPr>
                <w:rFonts w:ascii="Times New Roman" w:hAnsi="Times New Roman" w:cs="Times New Roman"/>
                <w:sz w:val="24"/>
                <w:lang w:val="sq-AL"/>
              </w:rPr>
              <w:t>Të dhënat e bilancit të energjisë elektrike kërkohen me anë të shkresës zyrtare dhe sigurohen nëpërmjet adresave postare ose elektronike.</w:t>
            </w:r>
          </w:p>
        </w:tc>
      </w:tr>
      <w:tr w:rsidR="00BD6D4E" w:rsidRPr="0093731F" w:rsidTr="00760ECD">
        <w:trPr>
          <w:trHeight w:val="562"/>
        </w:trPr>
        <w:tc>
          <w:tcPr>
            <w:tcW w:w="2518"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18.4. Vlefshmëria e të dhënave</w:t>
            </w:r>
          </w:p>
        </w:tc>
        <w:tc>
          <w:tcPr>
            <w:tcW w:w="8164" w:type="dxa"/>
            <w:shd w:val="clear" w:color="auto" w:fill="auto"/>
            <w:vAlign w:val="center"/>
          </w:tcPr>
          <w:p w:rsidR="00BD6D4E" w:rsidRPr="00D41EE4" w:rsidRDefault="00DF5529"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93731F">
              <w:rPr>
                <w:rFonts w:ascii="Times New Roman" w:hAnsi="Times New Roman" w:cs="Times New Roman"/>
                <w:sz w:val="24"/>
                <w:lang w:val="sq-AL"/>
              </w:rPr>
              <w:t>Vlefshmëria e të dhënave bëhet duke krahasuar të dhënat e vlerave aktuale apo me ato të një viti</w:t>
            </w:r>
            <w:r w:rsidRPr="0093731F">
              <w:rPr>
                <w:rFonts w:ascii="Times New Roman" w:hAnsi="Times New Roman" w:cs="Times New Roman"/>
                <w:spacing w:val="-1"/>
                <w:sz w:val="24"/>
                <w:lang w:val="sq-AL"/>
              </w:rPr>
              <w:t xml:space="preserve"> </w:t>
            </w:r>
            <w:r w:rsidRPr="0093731F">
              <w:rPr>
                <w:rFonts w:ascii="Times New Roman" w:hAnsi="Times New Roman" w:cs="Times New Roman"/>
                <w:sz w:val="24"/>
                <w:lang w:val="sq-AL"/>
              </w:rPr>
              <w:t>paraardhës.</w:t>
            </w:r>
          </w:p>
        </w:tc>
      </w:tr>
      <w:tr w:rsidR="00BD6D4E" w:rsidRPr="0093731F" w:rsidTr="002A55BC">
        <w:trPr>
          <w:trHeight w:val="341"/>
        </w:trPr>
        <w:tc>
          <w:tcPr>
            <w:tcW w:w="2518"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t>18.5. Përpilimi i të dhënave </w:t>
            </w:r>
          </w:p>
        </w:tc>
        <w:tc>
          <w:tcPr>
            <w:tcW w:w="8164" w:type="dxa"/>
            <w:shd w:val="clear" w:color="auto" w:fill="auto"/>
            <w:vAlign w:val="center"/>
          </w:tcPr>
          <w:p w:rsidR="00BD6D4E" w:rsidRPr="00841B6F" w:rsidRDefault="00DF5529" w:rsidP="00760ECD">
            <w:pPr>
              <w:pStyle w:val="TableParagraph"/>
              <w:spacing w:before="200" w:after="200"/>
              <w:ind w:left="101" w:right="86"/>
              <w:jc w:val="both"/>
              <w:rPr>
                <w:noProof/>
                <w:color w:val="000000"/>
                <w:sz w:val="24"/>
                <w:szCs w:val="24"/>
                <w:lang w:val="sq-AL" w:eastAsia="sq-AL" w:bidi="ar-SA"/>
              </w:rPr>
            </w:pPr>
            <w:r w:rsidRPr="00841B6F">
              <w:rPr>
                <w:noProof/>
                <w:color w:val="000000"/>
                <w:sz w:val="24"/>
                <w:szCs w:val="24"/>
                <w:lang w:val="sq-AL" w:eastAsia="sq-AL" w:bidi="ar-SA"/>
              </w:rPr>
              <w:t xml:space="preserve">Përpilimi i të dhënave i referohet krijimit të një bilanci energjie i cili barazon sasinë e vënë në dispozicion për konsum me sasinë e konsumuar në vend. Në rastin e diferencave statistikore në këto sasi gjykohet në cilësinë dhe saktësinë e të dhënave dhe ju ridërgohet operatorëve për konfrimim të shifrave dhe arsyetim </w:t>
            </w:r>
            <w:r w:rsidRPr="00841B6F">
              <w:rPr>
                <w:noProof/>
                <w:color w:val="000000"/>
                <w:sz w:val="24"/>
                <w:szCs w:val="24"/>
                <w:lang w:val="sq-AL" w:eastAsia="sq-AL" w:bidi="ar-SA"/>
              </w:rPr>
              <w:lastRenderedPageBreak/>
              <w:t>të situatës.</w:t>
            </w:r>
          </w:p>
        </w:tc>
      </w:tr>
      <w:tr w:rsidR="00BD6D4E" w:rsidRPr="0093731F" w:rsidTr="002A55BC">
        <w:trPr>
          <w:trHeight w:val="854"/>
        </w:trPr>
        <w:tc>
          <w:tcPr>
            <w:tcW w:w="2518" w:type="dxa"/>
            <w:shd w:val="clear" w:color="auto" w:fill="FFFFCC"/>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r w:rsidRPr="00430D9B">
              <w:rPr>
                <w:rFonts w:ascii="Times New Roman" w:eastAsia="Times New Roman" w:hAnsi="Times New Roman" w:cs="Times New Roman"/>
                <w:noProof/>
                <w:color w:val="000000"/>
                <w:sz w:val="24"/>
                <w:szCs w:val="24"/>
                <w:lang w:val="sq-AL" w:eastAsia="sq-AL"/>
              </w:rPr>
              <w:lastRenderedPageBreak/>
              <w:t>18.6. Rregullimi</w:t>
            </w:r>
          </w:p>
        </w:tc>
        <w:tc>
          <w:tcPr>
            <w:tcW w:w="8164" w:type="dxa"/>
            <w:shd w:val="clear" w:color="auto" w:fill="auto"/>
            <w:noWrap/>
            <w:vAlign w:val="center"/>
            <w:hideMark/>
          </w:tcPr>
          <w:p w:rsidR="00BD6D4E" w:rsidRPr="00D41EE4" w:rsidRDefault="00517F3D" w:rsidP="00760ECD">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Pr>
                <w:rFonts w:ascii="Times New Roman" w:eastAsia="Times New Roman" w:hAnsi="Times New Roman" w:cs="Times New Roman"/>
                <w:noProof/>
                <w:color w:val="000000"/>
                <w:sz w:val="24"/>
                <w:szCs w:val="24"/>
                <w:lang w:val="sq-AL" w:eastAsia="sq-AL"/>
              </w:rPr>
              <w:t>Nuk aplikohet.</w:t>
            </w:r>
            <w:r w:rsidR="00622AD6">
              <w:rPr>
                <w:rFonts w:ascii="Times New Roman" w:eastAsia="Times New Roman" w:hAnsi="Times New Roman" w:cs="Times New Roman"/>
                <w:noProof/>
                <w:color w:val="000000"/>
                <w:sz w:val="24"/>
                <w:szCs w:val="24"/>
                <w:lang w:val="sq-AL" w:eastAsia="sq-AL"/>
              </w:rPr>
              <w:t xml:space="preserve"> </w:t>
            </w:r>
            <w:r w:rsidR="00DF5529" w:rsidRPr="00841B6F">
              <w:rPr>
                <w:rFonts w:ascii="Times New Roman" w:eastAsia="Times New Roman" w:hAnsi="Times New Roman" w:cs="Times New Roman"/>
                <w:noProof/>
                <w:color w:val="000000"/>
                <w:sz w:val="24"/>
                <w:szCs w:val="24"/>
                <w:lang w:val="sq-AL" w:eastAsia="sq-AL"/>
              </w:rPr>
              <w:t>Asnjë përshtatje sezonale nuk i bëhet të dhënave të grumbulluara.</w:t>
            </w:r>
          </w:p>
        </w:tc>
      </w:tr>
      <w:tr w:rsidR="00BD6D4E" w:rsidRPr="00430D9B" w:rsidTr="00A112B8">
        <w:trPr>
          <w:trHeight w:val="567"/>
        </w:trPr>
        <w:tc>
          <w:tcPr>
            <w:tcW w:w="2518" w:type="dxa"/>
            <w:shd w:val="clear" w:color="auto" w:fill="FBD4B4" w:themeFill="accent6" w:themeFillTint="66"/>
            <w:vAlign w:val="center"/>
            <w:hideMark/>
          </w:tcPr>
          <w:p w:rsidR="00BD6D4E" w:rsidRPr="00E87B99" w:rsidRDefault="00BD6D4E" w:rsidP="00430D9B">
            <w:pPr>
              <w:pStyle w:val="Heading1"/>
              <w:spacing w:before="0"/>
              <w:rPr>
                <w:rFonts w:ascii="Times New Roman" w:eastAsia="Times New Roman" w:hAnsi="Times New Roman" w:cs="Times New Roman"/>
                <w:bCs w:val="0"/>
                <w:noProof/>
                <w:color w:val="000000"/>
                <w:sz w:val="24"/>
                <w:szCs w:val="24"/>
                <w:lang w:val="sq-AL" w:eastAsia="sq-AL"/>
              </w:rPr>
            </w:pPr>
            <w:bookmarkStart w:id="37" w:name="_Toc474418824"/>
            <w:bookmarkStart w:id="38" w:name="_Toc65224577"/>
            <w:r w:rsidRPr="00E87B99">
              <w:rPr>
                <w:rFonts w:ascii="Times New Roman" w:eastAsia="Times New Roman" w:hAnsi="Times New Roman" w:cs="Times New Roman"/>
                <w:bCs w:val="0"/>
                <w:noProof/>
                <w:color w:val="000000"/>
                <w:sz w:val="24"/>
                <w:szCs w:val="24"/>
                <w:lang w:val="sq-AL" w:eastAsia="sq-AL"/>
              </w:rPr>
              <w:t xml:space="preserve">19. </w:t>
            </w:r>
            <w:r w:rsidRPr="00E87B99">
              <w:rPr>
                <w:rFonts w:ascii="Times New Roman" w:eastAsia="Times New Roman" w:hAnsi="Times New Roman" w:cs="Times New Roman"/>
                <w:noProof/>
                <w:color w:val="000000" w:themeColor="text1"/>
                <w:sz w:val="24"/>
                <w:szCs w:val="24"/>
                <w:lang w:val="sq-AL" w:eastAsia="sq-AL"/>
              </w:rPr>
              <w:t>Komente</w:t>
            </w:r>
            <w:bookmarkEnd w:id="37"/>
            <w:bookmarkEnd w:id="38"/>
          </w:p>
        </w:tc>
        <w:tc>
          <w:tcPr>
            <w:tcW w:w="8164" w:type="dxa"/>
            <w:shd w:val="clear" w:color="auto" w:fill="auto"/>
            <w:noWrap/>
            <w:vAlign w:val="center"/>
            <w:hideMark/>
          </w:tcPr>
          <w:p w:rsidR="00BD6D4E" w:rsidRPr="00430D9B" w:rsidRDefault="00BD6D4E" w:rsidP="00430D9B">
            <w:pPr>
              <w:spacing w:after="0"/>
              <w:rPr>
                <w:rFonts w:ascii="Times New Roman" w:eastAsia="Times New Roman" w:hAnsi="Times New Roman" w:cs="Times New Roman"/>
                <w:noProof/>
                <w:color w:val="000000"/>
                <w:sz w:val="24"/>
                <w:szCs w:val="24"/>
                <w:lang w:val="sq-AL" w:eastAsia="sq-AL"/>
              </w:rPr>
            </w:pPr>
          </w:p>
        </w:tc>
      </w:tr>
      <w:tr w:rsidR="00BD6D4E" w:rsidRPr="00430D9B" w:rsidTr="00A112B8">
        <w:trPr>
          <w:trHeight w:val="567"/>
        </w:trPr>
        <w:tc>
          <w:tcPr>
            <w:tcW w:w="10682" w:type="dxa"/>
            <w:gridSpan w:val="2"/>
            <w:shd w:val="clear" w:color="auto" w:fill="FBD4B4" w:themeFill="accent6" w:themeFillTint="66"/>
            <w:vAlign w:val="center"/>
            <w:hideMark/>
          </w:tcPr>
          <w:p w:rsidR="00BD6D4E" w:rsidRPr="00430D9B" w:rsidRDefault="00BD6D4E" w:rsidP="00EF6AD6">
            <w:pPr>
              <w:pStyle w:val="Heading1"/>
              <w:spacing w:before="0"/>
              <w:rPr>
                <w:rFonts w:ascii="Times New Roman" w:eastAsia="Times New Roman" w:hAnsi="Times New Roman" w:cs="Times New Roman"/>
                <w:noProof/>
                <w:color w:val="000000"/>
                <w:sz w:val="24"/>
                <w:szCs w:val="24"/>
                <w:lang w:val="sq-AL" w:eastAsia="sq-AL"/>
              </w:rPr>
            </w:pPr>
            <w:bookmarkStart w:id="39" w:name="_Toc474418825"/>
            <w:bookmarkStart w:id="40" w:name="_Toc65224578"/>
            <w:r w:rsidRPr="00430D9B">
              <w:rPr>
                <w:rFonts w:ascii="Times New Roman" w:eastAsia="Times New Roman" w:hAnsi="Times New Roman" w:cs="Times New Roman"/>
                <w:bCs w:val="0"/>
                <w:noProof/>
                <w:color w:val="000000"/>
                <w:sz w:val="24"/>
                <w:szCs w:val="24"/>
                <w:lang w:val="sq-AL" w:eastAsia="sq-AL"/>
              </w:rPr>
              <w:t>Anek</w:t>
            </w:r>
            <w:bookmarkEnd w:id="39"/>
            <w:r w:rsidR="00EF6AD6">
              <w:rPr>
                <w:rFonts w:ascii="Times New Roman" w:eastAsia="Times New Roman" w:hAnsi="Times New Roman" w:cs="Times New Roman"/>
                <w:bCs w:val="0"/>
                <w:noProof/>
                <w:color w:val="000000"/>
                <w:sz w:val="24"/>
                <w:szCs w:val="24"/>
                <w:lang w:val="sq-AL" w:eastAsia="sq-AL"/>
              </w:rPr>
              <w:t>s</w:t>
            </w:r>
            <w:bookmarkEnd w:id="40"/>
          </w:p>
        </w:tc>
      </w:tr>
      <w:tr w:rsidR="00BD6D4E" w:rsidRPr="00430D9B" w:rsidTr="00A112B8">
        <w:trPr>
          <w:trHeight w:val="567"/>
        </w:trPr>
        <w:tc>
          <w:tcPr>
            <w:tcW w:w="10682" w:type="dxa"/>
            <w:gridSpan w:val="2"/>
            <w:shd w:val="clear" w:color="auto" w:fill="auto"/>
            <w:vAlign w:val="center"/>
            <w:hideMark/>
          </w:tcPr>
          <w:p w:rsidR="00BD6D4E" w:rsidRPr="00430D9B" w:rsidRDefault="00BD6D4E" w:rsidP="00D90692">
            <w:pPr>
              <w:spacing w:after="0"/>
              <w:rPr>
                <w:rFonts w:ascii="Times New Roman" w:eastAsia="Times New Roman" w:hAnsi="Times New Roman" w:cs="Times New Roman"/>
                <w:b/>
                <w:noProof/>
                <w:color w:val="000000"/>
                <w:sz w:val="24"/>
                <w:szCs w:val="24"/>
                <w:lang w:val="sq-AL" w:eastAsia="sq-AL"/>
              </w:rPr>
            </w:pPr>
          </w:p>
        </w:tc>
      </w:tr>
    </w:tbl>
    <w:p w:rsidR="007062AB" w:rsidRDefault="007062AB" w:rsidP="00A112B8">
      <w:pPr>
        <w:spacing w:after="0"/>
        <w:rPr>
          <w:rFonts w:ascii="Times New Roman" w:hAnsi="Times New Roman" w:cs="Times New Roman"/>
          <w:noProof/>
          <w:lang w:val="sq-AL"/>
        </w:rPr>
      </w:pPr>
    </w:p>
    <w:sectPr w:rsidR="007062AB" w:rsidSect="00FA1304">
      <w:footerReference w:type="defaul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82" w:rsidRDefault="00807C82" w:rsidP="00FA1304">
      <w:pPr>
        <w:spacing w:after="0" w:line="240" w:lineRule="auto"/>
      </w:pPr>
      <w:r>
        <w:separator/>
      </w:r>
    </w:p>
  </w:endnote>
  <w:endnote w:type="continuationSeparator" w:id="0">
    <w:p w:rsidR="00807C82" w:rsidRDefault="00807C82" w:rsidP="00FA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63"/>
      <w:docPartObj>
        <w:docPartGallery w:val="Page Numbers (Bottom of Page)"/>
        <w:docPartUnique/>
      </w:docPartObj>
    </w:sdtPr>
    <w:sdtEndPr/>
    <w:sdtContent>
      <w:p w:rsidR="00273D7A" w:rsidRDefault="00273D7A">
        <w:pPr>
          <w:pStyle w:val="Footer"/>
          <w:jc w:val="right"/>
        </w:pPr>
        <w:r>
          <w:fldChar w:fldCharType="begin"/>
        </w:r>
        <w:r>
          <w:instrText xml:space="preserve"> PAGE   \* MERGEFORMAT </w:instrText>
        </w:r>
        <w:r>
          <w:fldChar w:fldCharType="separate"/>
        </w:r>
        <w:r w:rsidR="005F2D29">
          <w:rPr>
            <w:noProof/>
          </w:rPr>
          <w:t>6</w:t>
        </w:r>
        <w:r>
          <w:rPr>
            <w:noProof/>
          </w:rPr>
          <w:fldChar w:fldCharType="end"/>
        </w:r>
      </w:p>
    </w:sdtContent>
  </w:sdt>
  <w:p w:rsidR="00273D7A" w:rsidRDefault="00273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82" w:rsidRDefault="00807C82" w:rsidP="00FA1304">
      <w:pPr>
        <w:spacing w:after="0" w:line="240" w:lineRule="auto"/>
      </w:pPr>
      <w:r>
        <w:separator/>
      </w:r>
    </w:p>
  </w:footnote>
  <w:footnote w:type="continuationSeparator" w:id="0">
    <w:p w:rsidR="00807C82" w:rsidRDefault="00807C82" w:rsidP="00FA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6DD"/>
    <w:multiLevelType w:val="hybridMultilevel"/>
    <w:tmpl w:val="99061D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9A06C59"/>
    <w:multiLevelType w:val="hybridMultilevel"/>
    <w:tmpl w:val="F2320772"/>
    <w:lvl w:ilvl="0" w:tplc="0F44F77A">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14486"/>
    <w:multiLevelType w:val="hybridMultilevel"/>
    <w:tmpl w:val="9A4A94F4"/>
    <w:lvl w:ilvl="0" w:tplc="9328D27C">
      <w:numFmt w:val="bullet"/>
      <w:lvlText w:val="·"/>
      <w:lvlJc w:val="left"/>
      <w:pPr>
        <w:ind w:left="878" w:hanging="413"/>
      </w:pPr>
      <w:rPr>
        <w:rFonts w:ascii="Times New Roman" w:eastAsia="Times New Roman" w:hAnsi="Times New Roman" w:cs="Times New Roman" w:hint="default"/>
        <w:spacing w:val="-6"/>
        <w:w w:val="99"/>
        <w:sz w:val="24"/>
        <w:szCs w:val="24"/>
        <w:lang w:val="en-US" w:eastAsia="en-US" w:bidi="en-US"/>
      </w:rPr>
    </w:lvl>
    <w:lvl w:ilvl="1" w:tplc="9328D27C">
      <w:numFmt w:val="bullet"/>
      <w:lvlText w:val="·"/>
      <w:lvlJc w:val="left"/>
      <w:pPr>
        <w:ind w:left="1527" w:hanging="413"/>
      </w:pPr>
      <w:rPr>
        <w:rFonts w:ascii="Times New Roman" w:eastAsia="Times New Roman" w:hAnsi="Times New Roman" w:cs="Times New Roman" w:hint="default"/>
        <w:w w:val="99"/>
        <w:sz w:val="24"/>
        <w:szCs w:val="24"/>
        <w:lang w:val="en-US" w:eastAsia="en-US" w:bidi="en-US"/>
      </w:rPr>
    </w:lvl>
    <w:lvl w:ilvl="2" w:tplc="200CED6E">
      <w:numFmt w:val="bullet"/>
      <w:lvlText w:val="•"/>
      <w:lvlJc w:val="left"/>
      <w:pPr>
        <w:ind w:left="2174" w:hanging="413"/>
      </w:pPr>
      <w:rPr>
        <w:rFonts w:hint="default"/>
        <w:lang w:val="sq-AL" w:eastAsia="en-US" w:bidi="ar-SA"/>
      </w:rPr>
    </w:lvl>
    <w:lvl w:ilvl="3" w:tplc="1FE4F4BE">
      <w:numFmt w:val="bullet"/>
      <w:lvlText w:val="•"/>
      <w:lvlJc w:val="left"/>
      <w:pPr>
        <w:ind w:left="2822" w:hanging="413"/>
      </w:pPr>
      <w:rPr>
        <w:rFonts w:hint="default"/>
        <w:lang w:val="sq-AL" w:eastAsia="en-US" w:bidi="ar-SA"/>
      </w:rPr>
    </w:lvl>
    <w:lvl w:ilvl="4" w:tplc="CB0C4560">
      <w:numFmt w:val="bullet"/>
      <w:lvlText w:val="•"/>
      <w:lvlJc w:val="left"/>
      <w:pPr>
        <w:ind w:left="3469" w:hanging="413"/>
      </w:pPr>
      <w:rPr>
        <w:rFonts w:hint="default"/>
        <w:lang w:val="sq-AL" w:eastAsia="en-US" w:bidi="ar-SA"/>
      </w:rPr>
    </w:lvl>
    <w:lvl w:ilvl="5" w:tplc="E2F67282">
      <w:numFmt w:val="bullet"/>
      <w:lvlText w:val="•"/>
      <w:lvlJc w:val="left"/>
      <w:pPr>
        <w:ind w:left="4117" w:hanging="413"/>
      </w:pPr>
      <w:rPr>
        <w:rFonts w:hint="default"/>
        <w:lang w:val="sq-AL" w:eastAsia="en-US" w:bidi="ar-SA"/>
      </w:rPr>
    </w:lvl>
    <w:lvl w:ilvl="6" w:tplc="7D22E10E">
      <w:numFmt w:val="bullet"/>
      <w:lvlText w:val="•"/>
      <w:lvlJc w:val="left"/>
      <w:pPr>
        <w:ind w:left="4764" w:hanging="413"/>
      </w:pPr>
      <w:rPr>
        <w:rFonts w:hint="default"/>
        <w:lang w:val="sq-AL" w:eastAsia="en-US" w:bidi="ar-SA"/>
      </w:rPr>
    </w:lvl>
    <w:lvl w:ilvl="7" w:tplc="679ADBE4">
      <w:numFmt w:val="bullet"/>
      <w:lvlText w:val="•"/>
      <w:lvlJc w:val="left"/>
      <w:pPr>
        <w:ind w:left="5412" w:hanging="413"/>
      </w:pPr>
      <w:rPr>
        <w:rFonts w:hint="default"/>
        <w:lang w:val="sq-AL" w:eastAsia="en-US" w:bidi="ar-SA"/>
      </w:rPr>
    </w:lvl>
    <w:lvl w:ilvl="8" w:tplc="3286BEE2">
      <w:numFmt w:val="bullet"/>
      <w:lvlText w:val="•"/>
      <w:lvlJc w:val="left"/>
      <w:pPr>
        <w:ind w:left="6059" w:hanging="413"/>
      </w:pPr>
      <w:rPr>
        <w:rFonts w:hint="default"/>
        <w:lang w:val="sq-AL" w:eastAsia="en-US" w:bidi="ar-SA"/>
      </w:rPr>
    </w:lvl>
  </w:abstractNum>
  <w:abstractNum w:abstractNumId="3">
    <w:nsid w:val="114B1BDE"/>
    <w:multiLevelType w:val="hybridMultilevel"/>
    <w:tmpl w:val="7ECE191C"/>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nsid w:val="12062683"/>
    <w:multiLevelType w:val="hybridMultilevel"/>
    <w:tmpl w:val="32D43FBA"/>
    <w:lvl w:ilvl="0" w:tplc="2C74A430">
      <w:start w:val="1"/>
      <w:numFmt w:val="decimal"/>
      <w:lvlText w:val="%1."/>
      <w:lvlJc w:val="left"/>
      <w:pPr>
        <w:ind w:left="940" w:hanging="360"/>
      </w:pPr>
      <w:rPr>
        <w:rFonts w:ascii="Times New Roman" w:eastAsia="Times New Roman" w:hAnsi="Times New Roman" w:cs="Times New Roman" w:hint="default"/>
        <w:spacing w:val="-1"/>
        <w:w w:val="100"/>
        <w:sz w:val="24"/>
        <w:szCs w:val="24"/>
        <w:lang w:val="sq-AL" w:eastAsia="en-US" w:bidi="ar-SA"/>
      </w:rPr>
    </w:lvl>
    <w:lvl w:ilvl="1" w:tplc="6D3E43B6">
      <w:numFmt w:val="bullet"/>
      <w:lvlText w:val="•"/>
      <w:lvlJc w:val="left"/>
      <w:pPr>
        <w:ind w:left="1794" w:hanging="360"/>
      </w:pPr>
      <w:rPr>
        <w:rFonts w:hint="default"/>
        <w:lang w:val="sq-AL" w:eastAsia="en-US" w:bidi="ar-SA"/>
      </w:rPr>
    </w:lvl>
    <w:lvl w:ilvl="2" w:tplc="F24E1B5E">
      <w:numFmt w:val="bullet"/>
      <w:lvlText w:val="•"/>
      <w:lvlJc w:val="left"/>
      <w:pPr>
        <w:ind w:left="2649" w:hanging="360"/>
      </w:pPr>
      <w:rPr>
        <w:rFonts w:hint="default"/>
        <w:lang w:val="sq-AL" w:eastAsia="en-US" w:bidi="ar-SA"/>
      </w:rPr>
    </w:lvl>
    <w:lvl w:ilvl="3" w:tplc="59EAE3A2">
      <w:numFmt w:val="bullet"/>
      <w:lvlText w:val="•"/>
      <w:lvlJc w:val="left"/>
      <w:pPr>
        <w:ind w:left="3503" w:hanging="360"/>
      </w:pPr>
      <w:rPr>
        <w:rFonts w:hint="default"/>
        <w:lang w:val="sq-AL" w:eastAsia="en-US" w:bidi="ar-SA"/>
      </w:rPr>
    </w:lvl>
    <w:lvl w:ilvl="4" w:tplc="4426F7B4">
      <w:numFmt w:val="bullet"/>
      <w:lvlText w:val="•"/>
      <w:lvlJc w:val="left"/>
      <w:pPr>
        <w:ind w:left="4358" w:hanging="360"/>
      </w:pPr>
      <w:rPr>
        <w:rFonts w:hint="default"/>
        <w:lang w:val="sq-AL" w:eastAsia="en-US" w:bidi="ar-SA"/>
      </w:rPr>
    </w:lvl>
    <w:lvl w:ilvl="5" w:tplc="47061442">
      <w:numFmt w:val="bullet"/>
      <w:lvlText w:val="•"/>
      <w:lvlJc w:val="left"/>
      <w:pPr>
        <w:ind w:left="5213" w:hanging="360"/>
      </w:pPr>
      <w:rPr>
        <w:rFonts w:hint="default"/>
        <w:lang w:val="sq-AL" w:eastAsia="en-US" w:bidi="ar-SA"/>
      </w:rPr>
    </w:lvl>
    <w:lvl w:ilvl="6" w:tplc="ADB6B65E">
      <w:numFmt w:val="bullet"/>
      <w:lvlText w:val="•"/>
      <w:lvlJc w:val="left"/>
      <w:pPr>
        <w:ind w:left="6067" w:hanging="360"/>
      </w:pPr>
      <w:rPr>
        <w:rFonts w:hint="default"/>
        <w:lang w:val="sq-AL" w:eastAsia="en-US" w:bidi="ar-SA"/>
      </w:rPr>
    </w:lvl>
    <w:lvl w:ilvl="7" w:tplc="B598049A">
      <w:numFmt w:val="bullet"/>
      <w:lvlText w:val="•"/>
      <w:lvlJc w:val="left"/>
      <w:pPr>
        <w:ind w:left="6922" w:hanging="360"/>
      </w:pPr>
      <w:rPr>
        <w:rFonts w:hint="default"/>
        <w:lang w:val="sq-AL" w:eastAsia="en-US" w:bidi="ar-SA"/>
      </w:rPr>
    </w:lvl>
    <w:lvl w:ilvl="8" w:tplc="03B46C3C">
      <w:numFmt w:val="bullet"/>
      <w:lvlText w:val="•"/>
      <w:lvlJc w:val="left"/>
      <w:pPr>
        <w:ind w:left="7777" w:hanging="360"/>
      </w:pPr>
      <w:rPr>
        <w:rFonts w:hint="default"/>
        <w:lang w:val="sq-AL" w:eastAsia="en-US" w:bidi="ar-SA"/>
      </w:rPr>
    </w:lvl>
  </w:abstractNum>
  <w:abstractNum w:abstractNumId="5">
    <w:nsid w:val="25846B85"/>
    <w:multiLevelType w:val="hybridMultilevel"/>
    <w:tmpl w:val="58004CE2"/>
    <w:lvl w:ilvl="0" w:tplc="04090001">
      <w:start w:val="1"/>
      <w:numFmt w:val="bullet"/>
      <w:lvlText w:val=""/>
      <w:lvlJc w:val="left"/>
      <w:pPr>
        <w:ind w:left="461" w:hanging="360"/>
      </w:pPr>
      <w:rPr>
        <w:rFonts w:ascii="Symbol" w:hAnsi="Symbol" w:hint="default"/>
      </w:rPr>
    </w:lvl>
    <w:lvl w:ilvl="1" w:tplc="04090003">
      <w:start w:val="1"/>
      <w:numFmt w:val="bullet"/>
      <w:lvlText w:val="o"/>
      <w:lvlJc w:val="left"/>
      <w:pPr>
        <w:ind w:left="1181" w:hanging="360"/>
      </w:pPr>
      <w:rPr>
        <w:rFonts w:ascii="Courier New" w:hAnsi="Courier New" w:cs="Courier New" w:hint="default"/>
      </w:rPr>
    </w:lvl>
    <w:lvl w:ilvl="2" w:tplc="04090005">
      <w:start w:val="1"/>
      <w:numFmt w:val="bullet"/>
      <w:lvlText w:val=""/>
      <w:lvlJc w:val="left"/>
      <w:pPr>
        <w:ind w:left="1901" w:hanging="360"/>
      </w:pPr>
      <w:rPr>
        <w:rFonts w:ascii="Wingdings" w:hAnsi="Wingdings" w:hint="default"/>
      </w:rPr>
    </w:lvl>
    <w:lvl w:ilvl="3" w:tplc="0409000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6">
    <w:nsid w:val="3A407463"/>
    <w:multiLevelType w:val="hybridMultilevel"/>
    <w:tmpl w:val="4E72DFF6"/>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7">
    <w:nsid w:val="4875770A"/>
    <w:multiLevelType w:val="hybridMultilevel"/>
    <w:tmpl w:val="B5AC1A9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nsid w:val="57564B9D"/>
    <w:multiLevelType w:val="hybridMultilevel"/>
    <w:tmpl w:val="43B6FC20"/>
    <w:lvl w:ilvl="0" w:tplc="E9808ED6">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9">
    <w:nsid w:val="5EE07053"/>
    <w:multiLevelType w:val="hybridMultilevel"/>
    <w:tmpl w:val="8EF24086"/>
    <w:lvl w:ilvl="0" w:tplc="04090001">
      <w:start w:val="1"/>
      <w:numFmt w:val="bullet"/>
      <w:lvlText w:val=""/>
      <w:lvlJc w:val="left"/>
      <w:pPr>
        <w:ind w:left="461" w:hanging="360"/>
      </w:pPr>
      <w:rPr>
        <w:rFonts w:ascii="Symbol" w:hAnsi="Symbol" w:hint="default"/>
      </w:rPr>
    </w:lvl>
    <w:lvl w:ilvl="1" w:tplc="04090003">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5"/>
  </w:num>
  <w:num w:numId="6">
    <w:abstractNumId w:val="6"/>
  </w:num>
  <w:num w:numId="7">
    <w:abstractNumId w:val="7"/>
  </w:num>
  <w:num w:numId="8">
    <w:abstractNumId w:val="9"/>
  </w:num>
  <w:num w:numId="9">
    <w:abstractNumId w:val="0"/>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A"/>
    <w:rsid w:val="00011189"/>
    <w:rsid w:val="000121F1"/>
    <w:rsid w:val="00017DA0"/>
    <w:rsid w:val="00021F57"/>
    <w:rsid w:val="00024A4A"/>
    <w:rsid w:val="0003026A"/>
    <w:rsid w:val="000352D2"/>
    <w:rsid w:val="00041C95"/>
    <w:rsid w:val="000424F0"/>
    <w:rsid w:val="00065B68"/>
    <w:rsid w:val="00066D29"/>
    <w:rsid w:val="000745E8"/>
    <w:rsid w:val="000801D3"/>
    <w:rsid w:val="000830E1"/>
    <w:rsid w:val="00087CFA"/>
    <w:rsid w:val="00095639"/>
    <w:rsid w:val="0009742C"/>
    <w:rsid w:val="00097D08"/>
    <w:rsid w:val="00097E6A"/>
    <w:rsid w:val="000B0109"/>
    <w:rsid w:val="000B33D1"/>
    <w:rsid w:val="000C0F0F"/>
    <w:rsid w:val="000C1175"/>
    <w:rsid w:val="000C43FD"/>
    <w:rsid w:val="000D5BD9"/>
    <w:rsid w:val="000E3968"/>
    <w:rsid w:val="000F1E09"/>
    <w:rsid w:val="000F21F5"/>
    <w:rsid w:val="001122E0"/>
    <w:rsid w:val="00114FEE"/>
    <w:rsid w:val="00125CCC"/>
    <w:rsid w:val="001272B3"/>
    <w:rsid w:val="00135AE5"/>
    <w:rsid w:val="001415EF"/>
    <w:rsid w:val="001508D9"/>
    <w:rsid w:val="0015405E"/>
    <w:rsid w:val="00157FA6"/>
    <w:rsid w:val="00163BA0"/>
    <w:rsid w:val="00181854"/>
    <w:rsid w:val="00183FF7"/>
    <w:rsid w:val="00187573"/>
    <w:rsid w:val="00194C4E"/>
    <w:rsid w:val="00194C8C"/>
    <w:rsid w:val="001A6FA0"/>
    <w:rsid w:val="001B3D68"/>
    <w:rsid w:val="001C22BD"/>
    <w:rsid w:val="001C7200"/>
    <w:rsid w:val="001D1F35"/>
    <w:rsid w:val="001E0695"/>
    <w:rsid w:val="001E40FE"/>
    <w:rsid w:val="00202284"/>
    <w:rsid w:val="002032D3"/>
    <w:rsid w:val="0021068D"/>
    <w:rsid w:val="00212467"/>
    <w:rsid w:val="0021278E"/>
    <w:rsid w:val="00212CE7"/>
    <w:rsid w:val="002133F9"/>
    <w:rsid w:val="002149D3"/>
    <w:rsid w:val="00214A13"/>
    <w:rsid w:val="00214FF2"/>
    <w:rsid w:val="00217A17"/>
    <w:rsid w:val="002217A0"/>
    <w:rsid w:val="00221FBF"/>
    <w:rsid w:val="00222AB0"/>
    <w:rsid w:val="00223F89"/>
    <w:rsid w:val="00227709"/>
    <w:rsid w:val="0023053A"/>
    <w:rsid w:val="0023193C"/>
    <w:rsid w:val="00233F8E"/>
    <w:rsid w:val="00247A56"/>
    <w:rsid w:val="00252804"/>
    <w:rsid w:val="00273D7A"/>
    <w:rsid w:val="0027628F"/>
    <w:rsid w:val="002803F7"/>
    <w:rsid w:val="0028142A"/>
    <w:rsid w:val="00284F19"/>
    <w:rsid w:val="002857E2"/>
    <w:rsid w:val="00291031"/>
    <w:rsid w:val="00292FD9"/>
    <w:rsid w:val="002947B8"/>
    <w:rsid w:val="00294ED9"/>
    <w:rsid w:val="00295F25"/>
    <w:rsid w:val="002A16B8"/>
    <w:rsid w:val="002A42C9"/>
    <w:rsid w:val="002A55BC"/>
    <w:rsid w:val="002B3446"/>
    <w:rsid w:val="002C1DAF"/>
    <w:rsid w:val="002C52D0"/>
    <w:rsid w:val="002D08ED"/>
    <w:rsid w:val="002D5353"/>
    <w:rsid w:val="002E2676"/>
    <w:rsid w:val="002E336D"/>
    <w:rsid w:val="002E38ED"/>
    <w:rsid w:val="002E543D"/>
    <w:rsid w:val="003050CD"/>
    <w:rsid w:val="003070CF"/>
    <w:rsid w:val="0031724C"/>
    <w:rsid w:val="00317E7C"/>
    <w:rsid w:val="00326A81"/>
    <w:rsid w:val="00327C25"/>
    <w:rsid w:val="003329DE"/>
    <w:rsid w:val="00336576"/>
    <w:rsid w:val="0034010B"/>
    <w:rsid w:val="003405B5"/>
    <w:rsid w:val="00342788"/>
    <w:rsid w:val="00343A0D"/>
    <w:rsid w:val="00343B78"/>
    <w:rsid w:val="00346397"/>
    <w:rsid w:val="00353643"/>
    <w:rsid w:val="003565CE"/>
    <w:rsid w:val="00356E01"/>
    <w:rsid w:val="003625C6"/>
    <w:rsid w:val="00377F9C"/>
    <w:rsid w:val="00382230"/>
    <w:rsid w:val="0038494D"/>
    <w:rsid w:val="00384D79"/>
    <w:rsid w:val="00385E02"/>
    <w:rsid w:val="00386AC4"/>
    <w:rsid w:val="00386C49"/>
    <w:rsid w:val="00391E47"/>
    <w:rsid w:val="003A26F6"/>
    <w:rsid w:val="003A7D81"/>
    <w:rsid w:val="003B134C"/>
    <w:rsid w:val="003B3458"/>
    <w:rsid w:val="003B7D3E"/>
    <w:rsid w:val="003C06EA"/>
    <w:rsid w:val="003C49ED"/>
    <w:rsid w:val="003D5AB8"/>
    <w:rsid w:val="003E07DF"/>
    <w:rsid w:val="003F3569"/>
    <w:rsid w:val="003F3973"/>
    <w:rsid w:val="003F459B"/>
    <w:rsid w:val="0040187D"/>
    <w:rsid w:val="00403C24"/>
    <w:rsid w:val="00407D93"/>
    <w:rsid w:val="00410A7E"/>
    <w:rsid w:val="00411B47"/>
    <w:rsid w:val="0041437D"/>
    <w:rsid w:val="004229B6"/>
    <w:rsid w:val="00426715"/>
    <w:rsid w:val="00430D9B"/>
    <w:rsid w:val="00433F82"/>
    <w:rsid w:val="004446B2"/>
    <w:rsid w:val="0045373F"/>
    <w:rsid w:val="00457D5E"/>
    <w:rsid w:val="00460CC1"/>
    <w:rsid w:val="00465E4D"/>
    <w:rsid w:val="0046614C"/>
    <w:rsid w:val="004670CF"/>
    <w:rsid w:val="004702B9"/>
    <w:rsid w:val="00474588"/>
    <w:rsid w:val="00477D1D"/>
    <w:rsid w:val="0048078D"/>
    <w:rsid w:val="00494CE5"/>
    <w:rsid w:val="00495EAE"/>
    <w:rsid w:val="004B0A20"/>
    <w:rsid w:val="004B138C"/>
    <w:rsid w:val="004B502B"/>
    <w:rsid w:val="004C4105"/>
    <w:rsid w:val="004C69D8"/>
    <w:rsid w:val="004D78A9"/>
    <w:rsid w:val="004E063F"/>
    <w:rsid w:val="004E4A9C"/>
    <w:rsid w:val="004E5CF6"/>
    <w:rsid w:val="004F68A1"/>
    <w:rsid w:val="005046A3"/>
    <w:rsid w:val="0051472B"/>
    <w:rsid w:val="00517F3D"/>
    <w:rsid w:val="00520D48"/>
    <w:rsid w:val="005216BB"/>
    <w:rsid w:val="00525746"/>
    <w:rsid w:val="00525B1D"/>
    <w:rsid w:val="00547988"/>
    <w:rsid w:val="005515B6"/>
    <w:rsid w:val="0055408D"/>
    <w:rsid w:val="00555151"/>
    <w:rsid w:val="00557107"/>
    <w:rsid w:val="00557E8F"/>
    <w:rsid w:val="00574AD8"/>
    <w:rsid w:val="005840B6"/>
    <w:rsid w:val="00584DD7"/>
    <w:rsid w:val="00591509"/>
    <w:rsid w:val="005930F1"/>
    <w:rsid w:val="0059361C"/>
    <w:rsid w:val="005A3CA6"/>
    <w:rsid w:val="005A4DE1"/>
    <w:rsid w:val="005A5408"/>
    <w:rsid w:val="005B33AA"/>
    <w:rsid w:val="005B60EC"/>
    <w:rsid w:val="005B7EF1"/>
    <w:rsid w:val="005C08FC"/>
    <w:rsid w:val="005C26EF"/>
    <w:rsid w:val="005C7315"/>
    <w:rsid w:val="005D083D"/>
    <w:rsid w:val="005D2FB6"/>
    <w:rsid w:val="005D5C41"/>
    <w:rsid w:val="005E049C"/>
    <w:rsid w:val="005E13A7"/>
    <w:rsid w:val="005E1F84"/>
    <w:rsid w:val="005E4644"/>
    <w:rsid w:val="005F1AAE"/>
    <w:rsid w:val="005F2D29"/>
    <w:rsid w:val="005F7E55"/>
    <w:rsid w:val="006001A2"/>
    <w:rsid w:val="00601E51"/>
    <w:rsid w:val="00606EFC"/>
    <w:rsid w:val="006073EB"/>
    <w:rsid w:val="006075D6"/>
    <w:rsid w:val="00613BD6"/>
    <w:rsid w:val="00615A85"/>
    <w:rsid w:val="00617106"/>
    <w:rsid w:val="00622AD6"/>
    <w:rsid w:val="00622D25"/>
    <w:rsid w:val="00626614"/>
    <w:rsid w:val="00635D7B"/>
    <w:rsid w:val="00635F31"/>
    <w:rsid w:val="00641369"/>
    <w:rsid w:val="006419F1"/>
    <w:rsid w:val="006478B1"/>
    <w:rsid w:val="0065173D"/>
    <w:rsid w:val="00666BD0"/>
    <w:rsid w:val="00667932"/>
    <w:rsid w:val="00673015"/>
    <w:rsid w:val="00687F75"/>
    <w:rsid w:val="006912E1"/>
    <w:rsid w:val="00694B94"/>
    <w:rsid w:val="006A4810"/>
    <w:rsid w:val="006A4ED9"/>
    <w:rsid w:val="006A78B2"/>
    <w:rsid w:val="006B7290"/>
    <w:rsid w:val="006C2362"/>
    <w:rsid w:val="006D27D2"/>
    <w:rsid w:val="006D2CB0"/>
    <w:rsid w:val="006D67DF"/>
    <w:rsid w:val="006E6CE8"/>
    <w:rsid w:val="006F300D"/>
    <w:rsid w:val="006F37FE"/>
    <w:rsid w:val="006F4472"/>
    <w:rsid w:val="00701070"/>
    <w:rsid w:val="007062AB"/>
    <w:rsid w:val="00706405"/>
    <w:rsid w:val="00714301"/>
    <w:rsid w:val="00715605"/>
    <w:rsid w:val="00723B00"/>
    <w:rsid w:val="007251CF"/>
    <w:rsid w:val="00725A1E"/>
    <w:rsid w:val="00725F8A"/>
    <w:rsid w:val="0072637A"/>
    <w:rsid w:val="0072790D"/>
    <w:rsid w:val="00735EC3"/>
    <w:rsid w:val="00746C7E"/>
    <w:rsid w:val="00747AF3"/>
    <w:rsid w:val="00754FF9"/>
    <w:rsid w:val="00755DA4"/>
    <w:rsid w:val="00756FA9"/>
    <w:rsid w:val="00760ECD"/>
    <w:rsid w:val="00761472"/>
    <w:rsid w:val="00767F0B"/>
    <w:rsid w:val="00780B6F"/>
    <w:rsid w:val="0079602F"/>
    <w:rsid w:val="00796650"/>
    <w:rsid w:val="007B1894"/>
    <w:rsid w:val="007B3C66"/>
    <w:rsid w:val="007B4EB2"/>
    <w:rsid w:val="007C000C"/>
    <w:rsid w:val="007C7C30"/>
    <w:rsid w:val="007D023C"/>
    <w:rsid w:val="007D72C7"/>
    <w:rsid w:val="007E5016"/>
    <w:rsid w:val="00804CF8"/>
    <w:rsid w:val="00807C82"/>
    <w:rsid w:val="008110E0"/>
    <w:rsid w:val="00813FA3"/>
    <w:rsid w:val="008149D7"/>
    <w:rsid w:val="00820B3F"/>
    <w:rsid w:val="00821042"/>
    <w:rsid w:val="0082329B"/>
    <w:rsid w:val="00831387"/>
    <w:rsid w:val="00833253"/>
    <w:rsid w:val="0083419A"/>
    <w:rsid w:val="00840ED6"/>
    <w:rsid w:val="00841B6F"/>
    <w:rsid w:val="00843208"/>
    <w:rsid w:val="008460BF"/>
    <w:rsid w:val="00854265"/>
    <w:rsid w:val="00855E54"/>
    <w:rsid w:val="0085628B"/>
    <w:rsid w:val="008674B8"/>
    <w:rsid w:val="00875F11"/>
    <w:rsid w:val="00876FAE"/>
    <w:rsid w:val="00882B71"/>
    <w:rsid w:val="00883AFA"/>
    <w:rsid w:val="00884BB3"/>
    <w:rsid w:val="008857EA"/>
    <w:rsid w:val="00886A87"/>
    <w:rsid w:val="008901A9"/>
    <w:rsid w:val="00896CF4"/>
    <w:rsid w:val="008971C1"/>
    <w:rsid w:val="008A367C"/>
    <w:rsid w:val="008A4003"/>
    <w:rsid w:val="008A4F2D"/>
    <w:rsid w:val="008A736D"/>
    <w:rsid w:val="008B1665"/>
    <w:rsid w:val="008B25B4"/>
    <w:rsid w:val="008B3D8E"/>
    <w:rsid w:val="008B761A"/>
    <w:rsid w:val="008C2688"/>
    <w:rsid w:val="008C3892"/>
    <w:rsid w:val="008F1633"/>
    <w:rsid w:val="00912F31"/>
    <w:rsid w:val="00926437"/>
    <w:rsid w:val="00926991"/>
    <w:rsid w:val="00930B2E"/>
    <w:rsid w:val="00932F91"/>
    <w:rsid w:val="0093731F"/>
    <w:rsid w:val="0093733B"/>
    <w:rsid w:val="00940C09"/>
    <w:rsid w:val="00955EEE"/>
    <w:rsid w:val="00962376"/>
    <w:rsid w:val="00963DDA"/>
    <w:rsid w:val="0097336F"/>
    <w:rsid w:val="00981EC5"/>
    <w:rsid w:val="00983248"/>
    <w:rsid w:val="0098418E"/>
    <w:rsid w:val="009856AD"/>
    <w:rsid w:val="009876D4"/>
    <w:rsid w:val="00993A78"/>
    <w:rsid w:val="009A7035"/>
    <w:rsid w:val="009B09F9"/>
    <w:rsid w:val="009B3405"/>
    <w:rsid w:val="009B50BD"/>
    <w:rsid w:val="009C4419"/>
    <w:rsid w:val="009C72A3"/>
    <w:rsid w:val="009C7EC0"/>
    <w:rsid w:val="009D1A9B"/>
    <w:rsid w:val="009D3980"/>
    <w:rsid w:val="009E0121"/>
    <w:rsid w:val="009E5422"/>
    <w:rsid w:val="009F25C5"/>
    <w:rsid w:val="009F56BE"/>
    <w:rsid w:val="009F664F"/>
    <w:rsid w:val="00A0085D"/>
    <w:rsid w:val="00A01647"/>
    <w:rsid w:val="00A112B8"/>
    <w:rsid w:val="00A1130E"/>
    <w:rsid w:val="00A128F6"/>
    <w:rsid w:val="00A15C59"/>
    <w:rsid w:val="00A16436"/>
    <w:rsid w:val="00A1721F"/>
    <w:rsid w:val="00A36DBE"/>
    <w:rsid w:val="00A36F1C"/>
    <w:rsid w:val="00A43688"/>
    <w:rsid w:val="00A5709F"/>
    <w:rsid w:val="00A6394C"/>
    <w:rsid w:val="00A662F1"/>
    <w:rsid w:val="00A671B0"/>
    <w:rsid w:val="00A75684"/>
    <w:rsid w:val="00A81868"/>
    <w:rsid w:val="00A9279C"/>
    <w:rsid w:val="00AA163A"/>
    <w:rsid w:val="00AA6706"/>
    <w:rsid w:val="00AC673F"/>
    <w:rsid w:val="00AC78F6"/>
    <w:rsid w:val="00AD0254"/>
    <w:rsid w:val="00AD1387"/>
    <w:rsid w:val="00AD2F82"/>
    <w:rsid w:val="00AE2F82"/>
    <w:rsid w:val="00AE49F2"/>
    <w:rsid w:val="00AE693C"/>
    <w:rsid w:val="00AF0A24"/>
    <w:rsid w:val="00B049AE"/>
    <w:rsid w:val="00B10DB8"/>
    <w:rsid w:val="00B122E5"/>
    <w:rsid w:val="00B15F7B"/>
    <w:rsid w:val="00B20B91"/>
    <w:rsid w:val="00B37300"/>
    <w:rsid w:val="00B40241"/>
    <w:rsid w:val="00B407E8"/>
    <w:rsid w:val="00B416EC"/>
    <w:rsid w:val="00B42FF2"/>
    <w:rsid w:val="00B47942"/>
    <w:rsid w:val="00B54258"/>
    <w:rsid w:val="00B552F3"/>
    <w:rsid w:val="00B57179"/>
    <w:rsid w:val="00B5744A"/>
    <w:rsid w:val="00B61719"/>
    <w:rsid w:val="00B61F58"/>
    <w:rsid w:val="00B64251"/>
    <w:rsid w:val="00B64DBC"/>
    <w:rsid w:val="00B6589E"/>
    <w:rsid w:val="00B658E8"/>
    <w:rsid w:val="00B70A0E"/>
    <w:rsid w:val="00BA5016"/>
    <w:rsid w:val="00BB0370"/>
    <w:rsid w:val="00BC699C"/>
    <w:rsid w:val="00BC7697"/>
    <w:rsid w:val="00BD2E43"/>
    <w:rsid w:val="00BD463B"/>
    <w:rsid w:val="00BD66CA"/>
    <w:rsid w:val="00BD6D4E"/>
    <w:rsid w:val="00BE3D7F"/>
    <w:rsid w:val="00BE5516"/>
    <w:rsid w:val="00BF1B78"/>
    <w:rsid w:val="00C02671"/>
    <w:rsid w:val="00C02F61"/>
    <w:rsid w:val="00C05219"/>
    <w:rsid w:val="00C07CED"/>
    <w:rsid w:val="00C12178"/>
    <w:rsid w:val="00C14B60"/>
    <w:rsid w:val="00C36314"/>
    <w:rsid w:val="00C4250F"/>
    <w:rsid w:val="00C451A7"/>
    <w:rsid w:val="00C470AE"/>
    <w:rsid w:val="00C479EC"/>
    <w:rsid w:val="00C54A25"/>
    <w:rsid w:val="00C55972"/>
    <w:rsid w:val="00C71AE4"/>
    <w:rsid w:val="00C72879"/>
    <w:rsid w:val="00C75C22"/>
    <w:rsid w:val="00C84718"/>
    <w:rsid w:val="00C9764C"/>
    <w:rsid w:val="00CB3648"/>
    <w:rsid w:val="00CB45E2"/>
    <w:rsid w:val="00CB778E"/>
    <w:rsid w:val="00CC34EF"/>
    <w:rsid w:val="00CC5C18"/>
    <w:rsid w:val="00CD005A"/>
    <w:rsid w:val="00CD099D"/>
    <w:rsid w:val="00CD3C4C"/>
    <w:rsid w:val="00CD6D1C"/>
    <w:rsid w:val="00CE119D"/>
    <w:rsid w:val="00CF0594"/>
    <w:rsid w:val="00CF0E5F"/>
    <w:rsid w:val="00D00DA5"/>
    <w:rsid w:val="00D0226F"/>
    <w:rsid w:val="00D066B9"/>
    <w:rsid w:val="00D06C93"/>
    <w:rsid w:val="00D1349D"/>
    <w:rsid w:val="00D250F5"/>
    <w:rsid w:val="00D26180"/>
    <w:rsid w:val="00D376BF"/>
    <w:rsid w:val="00D41EE4"/>
    <w:rsid w:val="00D426DA"/>
    <w:rsid w:val="00D44B05"/>
    <w:rsid w:val="00D6009D"/>
    <w:rsid w:val="00D710EE"/>
    <w:rsid w:val="00D72304"/>
    <w:rsid w:val="00D74434"/>
    <w:rsid w:val="00D771EE"/>
    <w:rsid w:val="00D836CB"/>
    <w:rsid w:val="00D86363"/>
    <w:rsid w:val="00D90692"/>
    <w:rsid w:val="00DA33B5"/>
    <w:rsid w:val="00DC293D"/>
    <w:rsid w:val="00DC4159"/>
    <w:rsid w:val="00DC4EC5"/>
    <w:rsid w:val="00DC748F"/>
    <w:rsid w:val="00DD6F2A"/>
    <w:rsid w:val="00DE1349"/>
    <w:rsid w:val="00DE7115"/>
    <w:rsid w:val="00DF5529"/>
    <w:rsid w:val="00E01B08"/>
    <w:rsid w:val="00E03F50"/>
    <w:rsid w:val="00E076F3"/>
    <w:rsid w:val="00E10FD1"/>
    <w:rsid w:val="00E14F39"/>
    <w:rsid w:val="00E2330F"/>
    <w:rsid w:val="00E4292E"/>
    <w:rsid w:val="00E433E5"/>
    <w:rsid w:val="00E43898"/>
    <w:rsid w:val="00E5417B"/>
    <w:rsid w:val="00E60DA8"/>
    <w:rsid w:val="00E618EB"/>
    <w:rsid w:val="00E66AD0"/>
    <w:rsid w:val="00E7137D"/>
    <w:rsid w:val="00E77144"/>
    <w:rsid w:val="00E800DB"/>
    <w:rsid w:val="00E84F62"/>
    <w:rsid w:val="00E87B99"/>
    <w:rsid w:val="00EA1653"/>
    <w:rsid w:val="00EA5F3D"/>
    <w:rsid w:val="00EB687F"/>
    <w:rsid w:val="00EC40EB"/>
    <w:rsid w:val="00EF2656"/>
    <w:rsid w:val="00EF6AD6"/>
    <w:rsid w:val="00F06554"/>
    <w:rsid w:val="00F13A15"/>
    <w:rsid w:val="00F14DE4"/>
    <w:rsid w:val="00F16858"/>
    <w:rsid w:val="00F25C78"/>
    <w:rsid w:val="00F32733"/>
    <w:rsid w:val="00F361AB"/>
    <w:rsid w:val="00F3726A"/>
    <w:rsid w:val="00F40025"/>
    <w:rsid w:val="00F40B65"/>
    <w:rsid w:val="00F41452"/>
    <w:rsid w:val="00F42D46"/>
    <w:rsid w:val="00F4605B"/>
    <w:rsid w:val="00F475CD"/>
    <w:rsid w:val="00F5019B"/>
    <w:rsid w:val="00F54024"/>
    <w:rsid w:val="00F61504"/>
    <w:rsid w:val="00F66EE5"/>
    <w:rsid w:val="00F6740B"/>
    <w:rsid w:val="00F734F0"/>
    <w:rsid w:val="00F80D5E"/>
    <w:rsid w:val="00F82091"/>
    <w:rsid w:val="00F86299"/>
    <w:rsid w:val="00F908D5"/>
    <w:rsid w:val="00F92357"/>
    <w:rsid w:val="00F97440"/>
    <w:rsid w:val="00FA1304"/>
    <w:rsid w:val="00FB3602"/>
    <w:rsid w:val="00FB4811"/>
    <w:rsid w:val="00FB5439"/>
    <w:rsid w:val="00FC6098"/>
    <w:rsid w:val="00FD4B99"/>
    <w:rsid w:val="00FE0ABE"/>
    <w:rsid w:val="00FE4E09"/>
    <w:rsid w:val="00FF6D5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37A"/>
    <w:rPr>
      <w:color w:val="0000FF"/>
      <w:u w:val="single"/>
    </w:rPr>
  </w:style>
  <w:style w:type="paragraph" w:styleId="ListParagraph">
    <w:name w:val="List Paragraph"/>
    <w:basedOn w:val="Normal"/>
    <w:uiPriority w:val="34"/>
    <w:qFormat/>
    <w:rsid w:val="004C69D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D8"/>
    <w:rPr>
      <w:rFonts w:ascii="Tahoma" w:hAnsi="Tahoma" w:cs="Tahoma"/>
      <w:sz w:val="16"/>
      <w:szCs w:val="16"/>
      <w:lang w:val="en-GB"/>
    </w:rPr>
  </w:style>
  <w:style w:type="paragraph" w:customStyle="1" w:styleId="Default">
    <w:name w:val="Default"/>
    <w:rsid w:val="00B3730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5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ED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6912E1"/>
    <w:pPr>
      <w:outlineLvl w:val="9"/>
    </w:pPr>
  </w:style>
  <w:style w:type="paragraph" w:styleId="TOC1">
    <w:name w:val="toc 1"/>
    <w:basedOn w:val="Normal"/>
    <w:next w:val="Normal"/>
    <w:autoRedefine/>
    <w:uiPriority w:val="39"/>
    <w:unhideWhenUsed/>
    <w:rsid w:val="006912E1"/>
    <w:pPr>
      <w:spacing w:after="100"/>
    </w:pPr>
  </w:style>
  <w:style w:type="character" w:styleId="FollowedHyperlink">
    <w:name w:val="FollowedHyperlink"/>
    <w:basedOn w:val="DefaultParagraphFont"/>
    <w:uiPriority w:val="99"/>
    <w:semiHidden/>
    <w:unhideWhenUsed/>
    <w:rsid w:val="00377F9C"/>
    <w:rPr>
      <w:color w:val="800080" w:themeColor="followedHyperlink"/>
      <w:u w:val="single"/>
    </w:rPr>
  </w:style>
  <w:style w:type="character" w:styleId="CommentReference">
    <w:name w:val="annotation reference"/>
    <w:basedOn w:val="DefaultParagraphFont"/>
    <w:uiPriority w:val="99"/>
    <w:semiHidden/>
    <w:unhideWhenUsed/>
    <w:rsid w:val="006073EB"/>
    <w:rPr>
      <w:sz w:val="16"/>
      <w:szCs w:val="16"/>
    </w:rPr>
  </w:style>
  <w:style w:type="paragraph" w:styleId="CommentText">
    <w:name w:val="annotation text"/>
    <w:basedOn w:val="Normal"/>
    <w:link w:val="CommentTextChar"/>
    <w:uiPriority w:val="99"/>
    <w:semiHidden/>
    <w:unhideWhenUsed/>
    <w:rsid w:val="006073EB"/>
    <w:pPr>
      <w:spacing w:line="240" w:lineRule="auto"/>
    </w:pPr>
    <w:rPr>
      <w:sz w:val="20"/>
      <w:szCs w:val="20"/>
    </w:rPr>
  </w:style>
  <w:style w:type="character" w:customStyle="1" w:styleId="CommentTextChar">
    <w:name w:val="Comment Text Char"/>
    <w:basedOn w:val="DefaultParagraphFont"/>
    <w:link w:val="CommentText"/>
    <w:uiPriority w:val="99"/>
    <w:semiHidden/>
    <w:rsid w:val="006073EB"/>
    <w:rPr>
      <w:sz w:val="20"/>
      <w:szCs w:val="20"/>
      <w:lang w:val="en-GB"/>
    </w:rPr>
  </w:style>
  <w:style w:type="paragraph" w:styleId="CommentSubject">
    <w:name w:val="annotation subject"/>
    <w:basedOn w:val="CommentText"/>
    <w:next w:val="CommentText"/>
    <w:link w:val="CommentSubjectChar"/>
    <w:uiPriority w:val="99"/>
    <w:semiHidden/>
    <w:unhideWhenUsed/>
    <w:rsid w:val="006073EB"/>
    <w:rPr>
      <w:b/>
      <w:bCs/>
    </w:rPr>
  </w:style>
  <w:style w:type="character" w:customStyle="1" w:styleId="CommentSubjectChar">
    <w:name w:val="Comment Subject Char"/>
    <w:basedOn w:val="CommentTextChar"/>
    <w:link w:val="CommentSubject"/>
    <w:uiPriority w:val="99"/>
    <w:semiHidden/>
    <w:rsid w:val="006073EB"/>
    <w:rPr>
      <w:b/>
      <w:bCs/>
      <w:sz w:val="20"/>
      <w:szCs w:val="20"/>
      <w:lang w:val="en-GB"/>
    </w:rPr>
  </w:style>
  <w:style w:type="paragraph" w:styleId="Header">
    <w:name w:val="header"/>
    <w:basedOn w:val="Normal"/>
    <w:link w:val="HeaderChar"/>
    <w:uiPriority w:val="99"/>
    <w:unhideWhenUsed/>
    <w:rsid w:val="00FA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04"/>
    <w:rPr>
      <w:lang w:val="en-GB"/>
    </w:rPr>
  </w:style>
  <w:style w:type="paragraph" w:styleId="Footer">
    <w:name w:val="footer"/>
    <w:basedOn w:val="Normal"/>
    <w:link w:val="FooterChar"/>
    <w:uiPriority w:val="99"/>
    <w:unhideWhenUsed/>
    <w:rsid w:val="00FA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04"/>
    <w:rPr>
      <w:lang w:val="en-GB"/>
    </w:rPr>
  </w:style>
  <w:style w:type="paragraph" w:styleId="NormalWeb">
    <w:name w:val="Normal (Web)"/>
    <w:basedOn w:val="Normal"/>
    <w:uiPriority w:val="99"/>
    <w:unhideWhenUsed/>
    <w:rsid w:val="00E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B364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InternetLink">
    <w:name w:val="Internet Link"/>
    <w:basedOn w:val="DefaultParagraphFont"/>
    <w:uiPriority w:val="99"/>
    <w:unhideWhenUsed/>
    <w:rsid w:val="005D5C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2456">
      <w:bodyDiv w:val="1"/>
      <w:marLeft w:val="0"/>
      <w:marRight w:val="0"/>
      <w:marTop w:val="0"/>
      <w:marBottom w:val="0"/>
      <w:divBdr>
        <w:top w:val="none" w:sz="0" w:space="0" w:color="auto"/>
        <w:left w:val="none" w:sz="0" w:space="0" w:color="auto"/>
        <w:bottom w:val="none" w:sz="0" w:space="0" w:color="auto"/>
        <w:right w:val="none" w:sz="0" w:space="0" w:color="auto"/>
      </w:divBdr>
    </w:div>
    <w:div w:id="115873477">
      <w:bodyDiv w:val="1"/>
      <w:marLeft w:val="0"/>
      <w:marRight w:val="0"/>
      <w:marTop w:val="0"/>
      <w:marBottom w:val="0"/>
      <w:divBdr>
        <w:top w:val="none" w:sz="0" w:space="0" w:color="auto"/>
        <w:left w:val="none" w:sz="0" w:space="0" w:color="auto"/>
        <w:bottom w:val="none" w:sz="0" w:space="0" w:color="auto"/>
        <w:right w:val="none" w:sz="0" w:space="0" w:color="auto"/>
      </w:divBdr>
    </w:div>
    <w:div w:id="280263091">
      <w:bodyDiv w:val="1"/>
      <w:marLeft w:val="0"/>
      <w:marRight w:val="0"/>
      <w:marTop w:val="0"/>
      <w:marBottom w:val="0"/>
      <w:divBdr>
        <w:top w:val="none" w:sz="0" w:space="0" w:color="auto"/>
        <w:left w:val="none" w:sz="0" w:space="0" w:color="auto"/>
        <w:bottom w:val="none" w:sz="0" w:space="0" w:color="auto"/>
        <w:right w:val="none" w:sz="0" w:space="0" w:color="auto"/>
      </w:divBdr>
    </w:div>
    <w:div w:id="306398140">
      <w:bodyDiv w:val="1"/>
      <w:marLeft w:val="0"/>
      <w:marRight w:val="0"/>
      <w:marTop w:val="0"/>
      <w:marBottom w:val="0"/>
      <w:divBdr>
        <w:top w:val="none" w:sz="0" w:space="0" w:color="auto"/>
        <w:left w:val="none" w:sz="0" w:space="0" w:color="auto"/>
        <w:bottom w:val="none" w:sz="0" w:space="0" w:color="auto"/>
        <w:right w:val="none" w:sz="0" w:space="0" w:color="auto"/>
      </w:divBdr>
    </w:div>
    <w:div w:id="311906091">
      <w:bodyDiv w:val="1"/>
      <w:marLeft w:val="0"/>
      <w:marRight w:val="0"/>
      <w:marTop w:val="0"/>
      <w:marBottom w:val="0"/>
      <w:divBdr>
        <w:top w:val="none" w:sz="0" w:space="0" w:color="auto"/>
        <w:left w:val="none" w:sz="0" w:space="0" w:color="auto"/>
        <w:bottom w:val="none" w:sz="0" w:space="0" w:color="auto"/>
        <w:right w:val="none" w:sz="0" w:space="0" w:color="auto"/>
      </w:divBdr>
    </w:div>
    <w:div w:id="402527930">
      <w:bodyDiv w:val="1"/>
      <w:marLeft w:val="0"/>
      <w:marRight w:val="0"/>
      <w:marTop w:val="0"/>
      <w:marBottom w:val="0"/>
      <w:divBdr>
        <w:top w:val="none" w:sz="0" w:space="0" w:color="auto"/>
        <w:left w:val="none" w:sz="0" w:space="0" w:color="auto"/>
        <w:bottom w:val="none" w:sz="0" w:space="0" w:color="auto"/>
        <w:right w:val="none" w:sz="0" w:space="0" w:color="auto"/>
      </w:divBdr>
    </w:div>
    <w:div w:id="561020434">
      <w:bodyDiv w:val="1"/>
      <w:marLeft w:val="0"/>
      <w:marRight w:val="0"/>
      <w:marTop w:val="0"/>
      <w:marBottom w:val="0"/>
      <w:divBdr>
        <w:top w:val="none" w:sz="0" w:space="0" w:color="auto"/>
        <w:left w:val="none" w:sz="0" w:space="0" w:color="auto"/>
        <w:bottom w:val="none" w:sz="0" w:space="0" w:color="auto"/>
        <w:right w:val="none" w:sz="0" w:space="0" w:color="auto"/>
      </w:divBdr>
    </w:div>
    <w:div w:id="618101872">
      <w:bodyDiv w:val="1"/>
      <w:marLeft w:val="0"/>
      <w:marRight w:val="0"/>
      <w:marTop w:val="0"/>
      <w:marBottom w:val="0"/>
      <w:divBdr>
        <w:top w:val="none" w:sz="0" w:space="0" w:color="auto"/>
        <w:left w:val="none" w:sz="0" w:space="0" w:color="auto"/>
        <w:bottom w:val="none" w:sz="0" w:space="0" w:color="auto"/>
        <w:right w:val="none" w:sz="0" w:space="0" w:color="auto"/>
      </w:divBdr>
    </w:div>
    <w:div w:id="627661683">
      <w:bodyDiv w:val="1"/>
      <w:marLeft w:val="0"/>
      <w:marRight w:val="0"/>
      <w:marTop w:val="0"/>
      <w:marBottom w:val="0"/>
      <w:divBdr>
        <w:top w:val="none" w:sz="0" w:space="0" w:color="auto"/>
        <w:left w:val="none" w:sz="0" w:space="0" w:color="auto"/>
        <w:bottom w:val="none" w:sz="0" w:space="0" w:color="auto"/>
        <w:right w:val="none" w:sz="0" w:space="0" w:color="auto"/>
      </w:divBdr>
    </w:div>
    <w:div w:id="631328490">
      <w:bodyDiv w:val="1"/>
      <w:marLeft w:val="0"/>
      <w:marRight w:val="0"/>
      <w:marTop w:val="0"/>
      <w:marBottom w:val="0"/>
      <w:divBdr>
        <w:top w:val="none" w:sz="0" w:space="0" w:color="auto"/>
        <w:left w:val="none" w:sz="0" w:space="0" w:color="auto"/>
        <w:bottom w:val="none" w:sz="0" w:space="0" w:color="auto"/>
        <w:right w:val="none" w:sz="0" w:space="0" w:color="auto"/>
      </w:divBdr>
    </w:div>
    <w:div w:id="632517313">
      <w:bodyDiv w:val="1"/>
      <w:marLeft w:val="0"/>
      <w:marRight w:val="0"/>
      <w:marTop w:val="0"/>
      <w:marBottom w:val="0"/>
      <w:divBdr>
        <w:top w:val="none" w:sz="0" w:space="0" w:color="auto"/>
        <w:left w:val="none" w:sz="0" w:space="0" w:color="auto"/>
        <w:bottom w:val="none" w:sz="0" w:space="0" w:color="auto"/>
        <w:right w:val="none" w:sz="0" w:space="0" w:color="auto"/>
      </w:divBdr>
    </w:div>
    <w:div w:id="666399680">
      <w:bodyDiv w:val="1"/>
      <w:marLeft w:val="0"/>
      <w:marRight w:val="0"/>
      <w:marTop w:val="0"/>
      <w:marBottom w:val="0"/>
      <w:divBdr>
        <w:top w:val="none" w:sz="0" w:space="0" w:color="auto"/>
        <w:left w:val="none" w:sz="0" w:space="0" w:color="auto"/>
        <w:bottom w:val="none" w:sz="0" w:space="0" w:color="auto"/>
        <w:right w:val="none" w:sz="0" w:space="0" w:color="auto"/>
      </w:divBdr>
    </w:div>
    <w:div w:id="693267076">
      <w:bodyDiv w:val="1"/>
      <w:marLeft w:val="0"/>
      <w:marRight w:val="0"/>
      <w:marTop w:val="0"/>
      <w:marBottom w:val="0"/>
      <w:divBdr>
        <w:top w:val="none" w:sz="0" w:space="0" w:color="auto"/>
        <w:left w:val="none" w:sz="0" w:space="0" w:color="auto"/>
        <w:bottom w:val="none" w:sz="0" w:space="0" w:color="auto"/>
        <w:right w:val="none" w:sz="0" w:space="0" w:color="auto"/>
      </w:divBdr>
    </w:div>
    <w:div w:id="780496930">
      <w:bodyDiv w:val="1"/>
      <w:marLeft w:val="0"/>
      <w:marRight w:val="0"/>
      <w:marTop w:val="0"/>
      <w:marBottom w:val="0"/>
      <w:divBdr>
        <w:top w:val="none" w:sz="0" w:space="0" w:color="auto"/>
        <w:left w:val="none" w:sz="0" w:space="0" w:color="auto"/>
        <w:bottom w:val="none" w:sz="0" w:space="0" w:color="auto"/>
        <w:right w:val="none" w:sz="0" w:space="0" w:color="auto"/>
      </w:divBdr>
    </w:div>
    <w:div w:id="861744006">
      <w:bodyDiv w:val="1"/>
      <w:marLeft w:val="0"/>
      <w:marRight w:val="0"/>
      <w:marTop w:val="0"/>
      <w:marBottom w:val="0"/>
      <w:divBdr>
        <w:top w:val="none" w:sz="0" w:space="0" w:color="auto"/>
        <w:left w:val="none" w:sz="0" w:space="0" w:color="auto"/>
        <w:bottom w:val="none" w:sz="0" w:space="0" w:color="auto"/>
        <w:right w:val="none" w:sz="0" w:space="0" w:color="auto"/>
      </w:divBdr>
    </w:div>
    <w:div w:id="962006269">
      <w:bodyDiv w:val="1"/>
      <w:marLeft w:val="0"/>
      <w:marRight w:val="0"/>
      <w:marTop w:val="0"/>
      <w:marBottom w:val="0"/>
      <w:divBdr>
        <w:top w:val="none" w:sz="0" w:space="0" w:color="auto"/>
        <w:left w:val="none" w:sz="0" w:space="0" w:color="auto"/>
        <w:bottom w:val="none" w:sz="0" w:space="0" w:color="auto"/>
        <w:right w:val="none" w:sz="0" w:space="0" w:color="auto"/>
      </w:divBdr>
    </w:div>
    <w:div w:id="1039206605">
      <w:bodyDiv w:val="1"/>
      <w:marLeft w:val="0"/>
      <w:marRight w:val="0"/>
      <w:marTop w:val="0"/>
      <w:marBottom w:val="0"/>
      <w:divBdr>
        <w:top w:val="none" w:sz="0" w:space="0" w:color="auto"/>
        <w:left w:val="none" w:sz="0" w:space="0" w:color="auto"/>
        <w:bottom w:val="none" w:sz="0" w:space="0" w:color="auto"/>
        <w:right w:val="none" w:sz="0" w:space="0" w:color="auto"/>
      </w:divBdr>
    </w:div>
    <w:div w:id="1044326010">
      <w:bodyDiv w:val="1"/>
      <w:marLeft w:val="0"/>
      <w:marRight w:val="0"/>
      <w:marTop w:val="0"/>
      <w:marBottom w:val="0"/>
      <w:divBdr>
        <w:top w:val="none" w:sz="0" w:space="0" w:color="auto"/>
        <w:left w:val="none" w:sz="0" w:space="0" w:color="auto"/>
        <w:bottom w:val="none" w:sz="0" w:space="0" w:color="auto"/>
        <w:right w:val="none" w:sz="0" w:space="0" w:color="auto"/>
      </w:divBdr>
    </w:div>
    <w:div w:id="1286350170">
      <w:bodyDiv w:val="1"/>
      <w:marLeft w:val="0"/>
      <w:marRight w:val="0"/>
      <w:marTop w:val="0"/>
      <w:marBottom w:val="0"/>
      <w:divBdr>
        <w:top w:val="none" w:sz="0" w:space="0" w:color="auto"/>
        <w:left w:val="none" w:sz="0" w:space="0" w:color="auto"/>
        <w:bottom w:val="none" w:sz="0" w:space="0" w:color="auto"/>
        <w:right w:val="none" w:sz="0" w:space="0" w:color="auto"/>
      </w:divBdr>
    </w:div>
    <w:div w:id="1302148817">
      <w:bodyDiv w:val="1"/>
      <w:marLeft w:val="0"/>
      <w:marRight w:val="0"/>
      <w:marTop w:val="0"/>
      <w:marBottom w:val="0"/>
      <w:divBdr>
        <w:top w:val="none" w:sz="0" w:space="0" w:color="auto"/>
        <w:left w:val="none" w:sz="0" w:space="0" w:color="auto"/>
        <w:bottom w:val="none" w:sz="0" w:space="0" w:color="auto"/>
        <w:right w:val="none" w:sz="0" w:space="0" w:color="auto"/>
      </w:divBdr>
    </w:div>
    <w:div w:id="1498492734">
      <w:bodyDiv w:val="1"/>
      <w:marLeft w:val="0"/>
      <w:marRight w:val="0"/>
      <w:marTop w:val="0"/>
      <w:marBottom w:val="0"/>
      <w:divBdr>
        <w:top w:val="none" w:sz="0" w:space="0" w:color="auto"/>
        <w:left w:val="none" w:sz="0" w:space="0" w:color="auto"/>
        <w:bottom w:val="none" w:sz="0" w:space="0" w:color="auto"/>
        <w:right w:val="none" w:sz="0" w:space="0" w:color="auto"/>
      </w:divBdr>
    </w:div>
    <w:div w:id="1528636623">
      <w:bodyDiv w:val="1"/>
      <w:marLeft w:val="0"/>
      <w:marRight w:val="0"/>
      <w:marTop w:val="0"/>
      <w:marBottom w:val="0"/>
      <w:divBdr>
        <w:top w:val="none" w:sz="0" w:space="0" w:color="auto"/>
        <w:left w:val="none" w:sz="0" w:space="0" w:color="auto"/>
        <w:bottom w:val="none" w:sz="0" w:space="0" w:color="auto"/>
        <w:right w:val="none" w:sz="0" w:space="0" w:color="auto"/>
      </w:divBdr>
    </w:div>
    <w:div w:id="1648631943">
      <w:bodyDiv w:val="1"/>
      <w:marLeft w:val="0"/>
      <w:marRight w:val="0"/>
      <w:marTop w:val="0"/>
      <w:marBottom w:val="0"/>
      <w:divBdr>
        <w:top w:val="none" w:sz="0" w:space="0" w:color="auto"/>
        <w:left w:val="none" w:sz="0" w:space="0" w:color="auto"/>
        <w:bottom w:val="none" w:sz="0" w:space="0" w:color="auto"/>
        <w:right w:val="none" w:sz="0" w:space="0" w:color="auto"/>
      </w:divBdr>
    </w:div>
    <w:div w:id="1685159219">
      <w:bodyDiv w:val="1"/>
      <w:marLeft w:val="0"/>
      <w:marRight w:val="0"/>
      <w:marTop w:val="0"/>
      <w:marBottom w:val="0"/>
      <w:divBdr>
        <w:top w:val="none" w:sz="0" w:space="0" w:color="auto"/>
        <w:left w:val="none" w:sz="0" w:space="0" w:color="auto"/>
        <w:bottom w:val="none" w:sz="0" w:space="0" w:color="auto"/>
        <w:right w:val="none" w:sz="0" w:space="0" w:color="auto"/>
      </w:divBdr>
    </w:div>
    <w:div w:id="1696148229">
      <w:bodyDiv w:val="1"/>
      <w:marLeft w:val="0"/>
      <w:marRight w:val="0"/>
      <w:marTop w:val="0"/>
      <w:marBottom w:val="0"/>
      <w:divBdr>
        <w:top w:val="none" w:sz="0" w:space="0" w:color="auto"/>
        <w:left w:val="none" w:sz="0" w:space="0" w:color="auto"/>
        <w:bottom w:val="none" w:sz="0" w:space="0" w:color="auto"/>
        <w:right w:val="none" w:sz="0" w:space="0" w:color="auto"/>
      </w:divBdr>
    </w:div>
    <w:div w:id="1732000078">
      <w:bodyDiv w:val="1"/>
      <w:marLeft w:val="0"/>
      <w:marRight w:val="0"/>
      <w:marTop w:val="0"/>
      <w:marBottom w:val="0"/>
      <w:divBdr>
        <w:top w:val="none" w:sz="0" w:space="0" w:color="auto"/>
        <w:left w:val="none" w:sz="0" w:space="0" w:color="auto"/>
        <w:bottom w:val="none" w:sz="0" w:space="0" w:color="auto"/>
        <w:right w:val="none" w:sz="0" w:space="0" w:color="auto"/>
      </w:divBdr>
    </w:div>
    <w:div w:id="1784303191">
      <w:bodyDiv w:val="1"/>
      <w:marLeft w:val="0"/>
      <w:marRight w:val="0"/>
      <w:marTop w:val="0"/>
      <w:marBottom w:val="0"/>
      <w:divBdr>
        <w:top w:val="none" w:sz="0" w:space="0" w:color="auto"/>
        <w:left w:val="none" w:sz="0" w:space="0" w:color="auto"/>
        <w:bottom w:val="none" w:sz="0" w:space="0" w:color="auto"/>
        <w:right w:val="none" w:sz="0" w:space="0" w:color="auto"/>
      </w:divBdr>
    </w:div>
    <w:div w:id="1822581104">
      <w:bodyDiv w:val="1"/>
      <w:marLeft w:val="0"/>
      <w:marRight w:val="0"/>
      <w:marTop w:val="0"/>
      <w:marBottom w:val="0"/>
      <w:divBdr>
        <w:top w:val="none" w:sz="0" w:space="0" w:color="auto"/>
        <w:left w:val="none" w:sz="0" w:space="0" w:color="auto"/>
        <w:bottom w:val="none" w:sz="0" w:space="0" w:color="auto"/>
        <w:right w:val="none" w:sz="0" w:space="0" w:color="auto"/>
      </w:divBdr>
    </w:div>
    <w:div w:id="1913616975">
      <w:bodyDiv w:val="1"/>
      <w:marLeft w:val="0"/>
      <w:marRight w:val="0"/>
      <w:marTop w:val="0"/>
      <w:marBottom w:val="0"/>
      <w:divBdr>
        <w:top w:val="none" w:sz="0" w:space="0" w:color="auto"/>
        <w:left w:val="none" w:sz="0" w:space="0" w:color="auto"/>
        <w:bottom w:val="none" w:sz="0" w:space="0" w:color="auto"/>
        <w:right w:val="none" w:sz="0" w:space="0" w:color="auto"/>
      </w:divBdr>
    </w:div>
    <w:div w:id="1977025119">
      <w:bodyDiv w:val="1"/>
      <w:marLeft w:val="0"/>
      <w:marRight w:val="0"/>
      <w:marTop w:val="0"/>
      <w:marBottom w:val="0"/>
      <w:divBdr>
        <w:top w:val="none" w:sz="0" w:space="0" w:color="auto"/>
        <w:left w:val="none" w:sz="0" w:space="0" w:color="auto"/>
        <w:bottom w:val="none" w:sz="0" w:space="0" w:color="auto"/>
        <w:right w:val="none" w:sz="0" w:space="0" w:color="auto"/>
      </w:divBdr>
    </w:div>
    <w:div w:id="1988700238">
      <w:bodyDiv w:val="1"/>
      <w:marLeft w:val="0"/>
      <w:marRight w:val="0"/>
      <w:marTop w:val="0"/>
      <w:marBottom w:val="0"/>
      <w:divBdr>
        <w:top w:val="none" w:sz="0" w:space="0" w:color="auto"/>
        <w:left w:val="none" w:sz="0" w:space="0" w:color="auto"/>
        <w:bottom w:val="none" w:sz="0" w:space="0" w:color="auto"/>
        <w:right w:val="none" w:sz="0" w:space="0" w:color="auto"/>
      </w:divBdr>
    </w:div>
    <w:div w:id="2028363808">
      <w:bodyDiv w:val="1"/>
      <w:marLeft w:val="0"/>
      <w:marRight w:val="0"/>
      <w:marTop w:val="0"/>
      <w:marBottom w:val="0"/>
      <w:divBdr>
        <w:top w:val="none" w:sz="0" w:space="0" w:color="auto"/>
        <w:left w:val="none" w:sz="0" w:space="0" w:color="auto"/>
        <w:bottom w:val="none" w:sz="0" w:space="0" w:color="auto"/>
        <w:right w:val="none" w:sz="0" w:space="0" w:color="auto"/>
      </w:divBdr>
    </w:div>
    <w:div w:id="21347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nstat.gov.al" TargetMode="External"/><Relationship Id="rId18" Type="http://schemas.openxmlformats.org/officeDocument/2006/relationships/hyperlink" Target="http://databaza.instat.gov.al/pxweb/sq/D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tat.gov.al/media/3973/ligj-nr-17-dt-542018_per-statistikat-zyrtare.pdf" TargetMode="External"/><Relationship Id="rId7" Type="http://schemas.openxmlformats.org/officeDocument/2006/relationships/footnotes" Target="footnotes.xml"/><Relationship Id="rId12" Type="http://schemas.openxmlformats.org/officeDocument/2006/relationships/hyperlink" Target="http://www.instat.gov.al/al/publikime/kalendari/" TargetMode="External"/><Relationship Id="rId17" Type="http://schemas.openxmlformats.org/officeDocument/2006/relationships/hyperlink" Target="http://www.instat.gov.al/al/publikime/librat/" TargetMode="External"/><Relationship Id="rId25" Type="http://schemas.openxmlformats.org/officeDocument/2006/relationships/hyperlink" Target="http://www.instat.gov.al/media/2828/politika_e_trajtimit_te_gabimeve.pdf" TargetMode="External"/><Relationship Id="rId2" Type="http://schemas.openxmlformats.org/officeDocument/2006/relationships/numbering" Target="numbering.xml"/><Relationship Id="rId16" Type="http://schemas.openxmlformats.org/officeDocument/2006/relationships/hyperlink" Target="http://www.instat.gov.al/al/temat/mjedisi-dhe-energjia/energjia/" TargetMode="External"/><Relationship Id="rId20" Type="http://schemas.openxmlformats.org/officeDocument/2006/relationships/hyperlink" Target="http://www.instat.gov.al/al/temat/mjedisi-dhe-energjia/energj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p.gov.al/web/ligj_mbrojtja_e_te_dhenave_personale_40.pdf" TargetMode="External"/><Relationship Id="rId24" Type="http://schemas.openxmlformats.org/officeDocument/2006/relationships/hyperlink" Target="http://www.instat.gov.al/media/2829/politika_e_revizionimit.pdf" TargetMode="External"/><Relationship Id="rId5" Type="http://schemas.openxmlformats.org/officeDocument/2006/relationships/settings" Target="settings.xml"/><Relationship Id="rId15" Type="http://schemas.openxmlformats.org/officeDocument/2006/relationships/hyperlink" Target="http://www.instat.gov.al/al/temat/mjedisi-dhe-energjia/energjia/" TargetMode="External"/><Relationship Id="rId23" Type="http://schemas.openxmlformats.org/officeDocument/2006/relationships/hyperlink" Target="http://www.instat.gov.al/al/dokumentimi/cil%C3%ABsia-statistikore/anketa-mbi-k%C3%ABnaq%C3%ABsin%C3%AB-e-p%C3%ABrdoruesve/" TargetMode="External"/><Relationship Id="rId28" Type="http://schemas.openxmlformats.org/officeDocument/2006/relationships/theme" Target="theme/theme1.xml"/><Relationship Id="rId10" Type="http://schemas.openxmlformats.org/officeDocument/2006/relationships/hyperlink" Target="http://www.instat.gov.al/media/3973/ligj-nr-17-dt-542018_per-statistikat-zyrtare.pdf" TargetMode="External"/><Relationship Id="rId19" Type="http://schemas.openxmlformats.org/officeDocument/2006/relationships/hyperlink" Target="http://www.instat.gov.al/al/rreth-nesh/k&#235;rkes&#235;-t&#235;-dh&#235;nash/" TargetMode="External"/><Relationship Id="rId4" Type="http://schemas.microsoft.com/office/2007/relationships/stylesWithEffects" Target="stylesWithEffects.xml"/><Relationship Id="rId9" Type="http://schemas.openxmlformats.org/officeDocument/2006/relationships/hyperlink" Target="mailto:ecali@instat.gov.al" TargetMode="External"/><Relationship Id="rId14" Type="http://schemas.openxmlformats.org/officeDocument/2006/relationships/hyperlink" Target="http://www.instat.gov.al/al/rreth-nesh/k&#235;rko-t&#235;-dh&#235;na/k&#235;rkes&#235;-t&#235;-dh&#235;nash-formulari/" TargetMode="External"/><Relationship Id="rId22" Type="http://schemas.openxmlformats.org/officeDocument/2006/relationships/hyperlink" Target="https://ec.europa.eu/eurostat/web/quality/european-statistics-code-of-prac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46E7-F872-4223-B026-EDCF09B9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insilsh</dc:creator>
  <cp:lastModifiedBy>Arbi Deraj</cp:lastModifiedBy>
  <cp:revision>46</cp:revision>
  <cp:lastPrinted>2016-09-01T07:29:00Z</cp:lastPrinted>
  <dcterms:created xsi:type="dcterms:W3CDTF">2020-03-05T16:18:00Z</dcterms:created>
  <dcterms:modified xsi:type="dcterms:W3CDTF">2021-03-03T11:54:00Z</dcterms:modified>
</cp:coreProperties>
</file>