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BD4B4"/>
        <w:tblCellMar>
          <w:top w:w="15" w:type="dxa"/>
          <w:left w:w="15" w:type="dxa"/>
          <w:bottom w:w="15" w:type="dxa"/>
          <w:right w:w="15" w:type="dxa"/>
        </w:tblCellMar>
        <w:tblLook w:val="04A0" w:firstRow="1" w:lastRow="0" w:firstColumn="1" w:lastColumn="0" w:noHBand="0" w:noVBand="1"/>
      </w:tblPr>
      <w:tblGrid>
        <w:gridCol w:w="9394"/>
      </w:tblGrid>
      <w:tr w:rsidR="00236A38" w:rsidRPr="00236A38" w:rsidTr="000A1D5E">
        <w:trPr>
          <w:trHeight w:val="2001"/>
        </w:trPr>
        <w:tc>
          <w:tcPr>
            <w:tcW w:w="9394"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before="120" w:after="120" w:line="240" w:lineRule="auto"/>
              <w:jc w:val="center"/>
              <w:rPr>
                <w:rFonts w:ascii="Times New Roman" w:eastAsia="Times New Roman" w:hAnsi="Times New Roman" w:cs="Times New Roman"/>
                <w:b/>
                <w:color w:val="000000"/>
                <w:sz w:val="32"/>
                <w:szCs w:val="32"/>
              </w:rPr>
            </w:pPr>
            <w:r w:rsidRPr="00236A38">
              <w:rPr>
                <w:rFonts w:ascii="Times New Roman" w:eastAsia="Times New Roman" w:hAnsi="Times New Roman" w:cs="Times New Roman"/>
                <w:sz w:val="24"/>
                <w:szCs w:val="24"/>
              </w:rPr>
              <w:t> </w:t>
            </w:r>
            <w:r w:rsidRPr="00236A38">
              <w:rPr>
                <w:rFonts w:ascii="Times New Roman" w:eastAsia="Times New Roman" w:hAnsi="Times New Roman" w:cs="Times New Roman"/>
                <w:b/>
                <w:color w:val="000000"/>
                <w:sz w:val="32"/>
                <w:szCs w:val="32"/>
              </w:rPr>
              <w:t>Inde</w:t>
            </w:r>
            <w:r>
              <w:rPr>
                <w:rFonts w:ascii="Times New Roman" w:eastAsia="Times New Roman" w:hAnsi="Times New Roman" w:cs="Times New Roman"/>
                <w:b/>
                <w:color w:val="000000"/>
                <w:sz w:val="32"/>
                <w:szCs w:val="32"/>
              </w:rPr>
              <w:t xml:space="preserve">ksi i Kushtimit në Ndërtim </w:t>
            </w:r>
            <w:r w:rsidR="00A45B89">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color w:val="000000"/>
                <w:sz w:val="32"/>
                <w:szCs w:val="32"/>
              </w:rPr>
              <w:t>për B</w:t>
            </w:r>
            <w:r w:rsidRPr="00236A38">
              <w:rPr>
                <w:rFonts w:ascii="Times New Roman" w:eastAsia="Times New Roman" w:hAnsi="Times New Roman" w:cs="Times New Roman"/>
                <w:b/>
                <w:color w:val="000000"/>
                <w:sz w:val="32"/>
                <w:szCs w:val="32"/>
              </w:rPr>
              <w:t xml:space="preserve">anesa </w:t>
            </w:r>
            <w:r w:rsidR="00A45B89">
              <w:rPr>
                <w:rFonts w:ascii="Times New Roman" w:eastAsia="Times New Roman" w:hAnsi="Times New Roman" w:cs="Times New Roman"/>
                <w:b/>
                <w:color w:val="000000"/>
                <w:sz w:val="32"/>
                <w:szCs w:val="32"/>
              </w:rPr>
              <w:t>)</w:t>
            </w:r>
          </w:p>
          <w:p w:rsidR="00236A38" w:rsidRPr="00236A38" w:rsidRDefault="00236A38" w:rsidP="00236A38">
            <w:pPr>
              <w:spacing w:before="120" w:after="120" w:line="240" w:lineRule="auto"/>
              <w:jc w:val="center"/>
              <w:rPr>
                <w:rFonts w:ascii="Times New Roman" w:eastAsia="Times New Roman" w:hAnsi="Times New Roman" w:cs="Times New Roman"/>
                <w:sz w:val="24"/>
                <w:szCs w:val="24"/>
              </w:rPr>
            </w:pPr>
            <w:r w:rsidRPr="00236A38">
              <w:rPr>
                <w:rFonts w:ascii="Times New Roman" w:eastAsia="Times New Roman" w:hAnsi="Times New Roman" w:cs="Times New Roman"/>
                <w:sz w:val="28"/>
                <w:szCs w:val="28"/>
              </w:rPr>
              <w:t xml:space="preserve">Metadata Referenciale në format Euro SDMX Metadata Structure </w:t>
            </w:r>
          </w:p>
          <w:p w:rsidR="00236A38" w:rsidRPr="00236A38" w:rsidRDefault="00236A38" w:rsidP="00236A38">
            <w:pPr>
              <w:spacing w:before="120" w:after="120" w:line="240" w:lineRule="auto"/>
              <w:jc w:val="center"/>
              <w:rPr>
                <w:rFonts w:ascii="Times New Roman" w:eastAsia="Times New Roman" w:hAnsi="Times New Roman" w:cs="Times New Roman"/>
                <w:sz w:val="24"/>
                <w:szCs w:val="24"/>
              </w:rPr>
            </w:pPr>
            <w:r w:rsidRPr="00236A38">
              <w:rPr>
                <w:rFonts w:ascii="Times New Roman" w:eastAsia="Times New Roman" w:hAnsi="Times New Roman" w:cs="Times New Roman"/>
                <w:sz w:val="28"/>
                <w:szCs w:val="28"/>
              </w:rPr>
              <w:t>(ESMS)</w:t>
            </w:r>
          </w:p>
          <w:p w:rsidR="00236A38" w:rsidRPr="00236A38" w:rsidRDefault="00236A38" w:rsidP="00236A38">
            <w:pPr>
              <w:spacing w:before="100" w:beforeAutospacing="1" w:after="0" w:line="240" w:lineRule="auto"/>
              <w:jc w:val="center"/>
              <w:rPr>
                <w:rFonts w:ascii="Times New Roman" w:eastAsia="Times New Roman" w:hAnsi="Times New Roman" w:cs="Times New Roman"/>
                <w:sz w:val="24"/>
                <w:szCs w:val="24"/>
              </w:rPr>
            </w:pPr>
            <w:r w:rsidRPr="00236A38">
              <w:rPr>
                <w:rFonts w:ascii="Times New Roman" w:eastAsia="Times New Roman" w:hAnsi="Times New Roman" w:cs="Times New Roman"/>
                <w:sz w:val="36"/>
                <w:szCs w:val="36"/>
              </w:rPr>
              <w:t>INSTAT</w:t>
            </w:r>
          </w:p>
        </w:tc>
      </w:tr>
    </w:tbl>
    <w:p w:rsidR="00927445" w:rsidRDefault="00236A38" w:rsidP="00927445">
      <w:pPr>
        <w:pStyle w:val="TOCHeading"/>
        <w:rPr>
          <w:rFonts w:ascii="Times New Roman" w:eastAsia="Times New Roman" w:hAnsi="Times New Roman" w:cs="Times New Roman"/>
          <w:sz w:val="24"/>
          <w:szCs w:val="24"/>
        </w:rPr>
      </w:pPr>
      <w:r w:rsidRPr="00236A38">
        <w:rPr>
          <w:rFonts w:ascii="Times New Roman" w:eastAsia="Times New Roman" w:hAnsi="Times New Roman" w:cs="Times New Roman"/>
          <w:sz w:val="24"/>
          <w:szCs w:val="24"/>
        </w:rPr>
        <w:t> </w:t>
      </w: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3D5A7C" w:rsidRPr="003D5A7C" w:rsidRDefault="003D5A7C" w:rsidP="003D5A7C">
          <w:pPr>
            <w:pStyle w:val="TOCHeading"/>
            <w:rPr>
              <w:rFonts w:ascii="Times New Roman" w:hAnsi="Times New Roman" w:cs="Times New Roman"/>
              <w:b w:val="0"/>
              <w:sz w:val="22"/>
              <w:szCs w:val="22"/>
            </w:rPr>
          </w:pPr>
          <w:r w:rsidRPr="003D5A7C">
            <w:rPr>
              <w:rFonts w:ascii="Times New Roman" w:hAnsi="Times New Roman" w:cs="Times New Roman"/>
              <w:color w:val="000000" w:themeColor="text1"/>
              <w:szCs w:val="24"/>
            </w:rPr>
            <w:t>Metadata Referenciale</w:t>
          </w:r>
        </w:p>
        <w:p w:rsidR="003D5A7C" w:rsidRPr="003D5A7C" w:rsidRDefault="003D5A7C" w:rsidP="003D5A7C">
          <w:pPr>
            <w:pStyle w:val="TOC1"/>
            <w:tabs>
              <w:tab w:val="right" w:leader="dot" w:pos="9350"/>
            </w:tabs>
            <w:rPr>
              <w:rFonts w:ascii="Times New Roman" w:hAnsi="Times New Roman" w:cs="Times New Roman"/>
              <w:noProof/>
            </w:rPr>
          </w:pPr>
          <w:r w:rsidRPr="003D5A7C">
            <w:rPr>
              <w:rFonts w:ascii="Times New Roman" w:hAnsi="Times New Roman" w:cs="Times New Roman"/>
            </w:rPr>
            <w:fldChar w:fldCharType="begin"/>
          </w:r>
          <w:r w:rsidRPr="003D5A7C">
            <w:rPr>
              <w:rFonts w:ascii="Times New Roman" w:hAnsi="Times New Roman" w:cs="Times New Roman"/>
            </w:rPr>
            <w:instrText xml:space="preserve"> TOC \o "1-3" \h \z \u </w:instrText>
          </w:r>
          <w:r w:rsidRPr="003D5A7C">
            <w:rPr>
              <w:rFonts w:ascii="Times New Roman" w:hAnsi="Times New Roman" w:cs="Times New Roman"/>
            </w:rPr>
            <w:fldChar w:fldCharType="separate"/>
          </w:r>
          <w:hyperlink w:anchor="_Toc67558927" w:history="1">
            <w:r w:rsidRPr="003D5A7C">
              <w:rPr>
                <w:rStyle w:val="Hyperlink"/>
                <w:rFonts w:ascii="Times New Roman" w:eastAsia="Times New Roman" w:hAnsi="Times New Roman" w:cs="Times New Roman"/>
                <w:bCs/>
                <w:noProof/>
                <w:kern w:val="36"/>
              </w:rPr>
              <w:t>1. Kontakt</w:t>
            </w:r>
            <w:r w:rsidRPr="003D5A7C">
              <w:rPr>
                <w:rFonts w:ascii="Times New Roman" w:hAnsi="Times New Roman" w:cs="Times New Roman"/>
                <w:noProof/>
                <w:webHidden/>
              </w:rPr>
              <w:tab/>
            </w:r>
            <w:r w:rsidRPr="003D5A7C">
              <w:rPr>
                <w:rFonts w:ascii="Times New Roman" w:hAnsi="Times New Roman" w:cs="Times New Roman"/>
                <w:noProof/>
                <w:webHidden/>
              </w:rPr>
              <w:fldChar w:fldCharType="begin"/>
            </w:r>
            <w:r w:rsidRPr="003D5A7C">
              <w:rPr>
                <w:rFonts w:ascii="Times New Roman" w:hAnsi="Times New Roman" w:cs="Times New Roman"/>
                <w:noProof/>
                <w:webHidden/>
              </w:rPr>
              <w:instrText xml:space="preserve"> PAGEREF _Toc67558927 \h </w:instrText>
            </w:r>
            <w:r w:rsidRPr="003D5A7C">
              <w:rPr>
                <w:rFonts w:ascii="Times New Roman" w:hAnsi="Times New Roman" w:cs="Times New Roman"/>
                <w:noProof/>
                <w:webHidden/>
              </w:rPr>
            </w:r>
            <w:r w:rsidRPr="003D5A7C">
              <w:rPr>
                <w:rFonts w:ascii="Times New Roman" w:hAnsi="Times New Roman" w:cs="Times New Roman"/>
                <w:noProof/>
                <w:webHidden/>
              </w:rPr>
              <w:fldChar w:fldCharType="separate"/>
            </w:r>
            <w:r w:rsidRPr="003D5A7C">
              <w:rPr>
                <w:rFonts w:ascii="Times New Roman" w:hAnsi="Times New Roman" w:cs="Times New Roman"/>
                <w:noProof/>
                <w:webHidden/>
              </w:rPr>
              <w:t>1</w:t>
            </w:r>
            <w:r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28" w:history="1">
            <w:r w:rsidR="003D5A7C" w:rsidRPr="003D5A7C">
              <w:rPr>
                <w:rStyle w:val="Hyperlink"/>
                <w:rFonts w:ascii="Times New Roman" w:eastAsia="Times New Roman" w:hAnsi="Times New Roman" w:cs="Times New Roman"/>
                <w:bCs/>
                <w:noProof/>
                <w:kern w:val="36"/>
              </w:rPr>
              <w:t>2. Përditësimi i metadatave</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_Toc67558928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2</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29" w:history="1">
            <w:r w:rsidR="003D5A7C" w:rsidRPr="003D5A7C">
              <w:rPr>
                <w:rStyle w:val="Hyperlink"/>
                <w:rFonts w:ascii="Times New Roman" w:eastAsia="Times New Roman" w:hAnsi="Times New Roman" w:cs="Times New Roman"/>
                <w:bCs/>
                <w:noProof/>
                <w:kern w:val="36"/>
              </w:rPr>
              <w:t>3. Paraqitja statistikore</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_Toc67558929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2</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0" w:history="1">
            <w:r w:rsidR="003D5A7C" w:rsidRPr="003D5A7C">
              <w:rPr>
                <w:rStyle w:val="Hyperlink"/>
                <w:rFonts w:ascii="Times New Roman" w:eastAsia="Times New Roman" w:hAnsi="Times New Roman" w:cs="Times New Roman"/>
                <w:bCs/>
                <w:noProof/>
                <w:kern w:val="36"/>
              </w:rPr>
              <w:t>4. Njësia matëse</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_Toc67558930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4</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1" w:history="1">
            <w:r w:rsidR="003D5A7C" w:rsidRPr="003D5A7C">
              <w:rPr>
                <w:rStyle w:val="Hyperlink"/>
                <w:rFonts w:ascii="Times New Roman" w:eastAsia="Times New Roman" w:hAnsi="Times New Roman" w:cs="Times New Roman"/>
                <w:bCs/>
                <w:noProof/>
                <w:kern w:val="36"/>
              </w:rPr>
              <w:t>5. Periudha e referencës</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_Toc67558931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4</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2" w:history="1">
            <w:r w:rsidR="003D5A7C" w:rsidRPr="003D5A7C">
              <w:rPr>
                <w:rStyle w:val="Hyperlink"/>
                <w:rFonts w:ascii="Times New Roman" w:eastAsia="Times New Roman" w:hAnsi="Times New Roman" w:cs="Times New Roman"/>
                <w:bCs/>
                <w:noProof/>
                <w:kern w:val="36"/>
              </w:rPr>
              <w:t>6. Mandati institucional</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_Toc67558932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4</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3" w:history="1">
            <w:r w:rsidR="003D5A7C" w:rsidRPr="003D5A7C">
              <w:rPr>
                <w:rStyle w:val="Hyperlink"/>
                <w:rFonts w:ascii="Times New Roman" w:eastAsia="Times New Roman" w:hAnsi="Times New Roman" w:cs="Times New Roman"/>
                <w:bCs/>
                <w:noProof/>
                <w:kern w:val="36"/>
              </w:rPr>
              <w:t>7. Konfidencialiteti</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_Toc67558933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4</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4" w:history="1">
            <w:r w:rsidR="003D5A7C" w:rsidRPr="003D5A7C">
              <w:rPr>
                <w:rStyle w:val="Hyperlink"/>
                <w:rFonts w:ascii="Times New Roman" w:eastAsia="Times New Roman" w:hAnsi="Times New Roman" w:cs="Times New Roman"/>
                <w:bCs/>
                <w:noProof/>
                <w:kern w:val="36"/>
              </w:rPr>
              <w:t>8. Politika e botimit</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_Toc67558934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5</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5" w:history="1">
            <w:r w:rsidR="003D5A7C" w:rsidRPr="003D5A7C">
              <w:rPr>
                <w:rStyle w:val="Hyperlink"/>
                <w:rFonts w:ascii="Times New Roman" w:eastAsia="Times New Roman" w:hAnsi="Times New Roman" w:cs="Times New Roman"/>
                <w:bCs/>
                <w:noProof/>
                <w:kern w:val="36"/>
              </w:rPr>
              <w:t>9. Shpeshtësia e shpërndarjes</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_Toc67558935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6</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6" w:history="1">
            <w:r w:rsidR="003D5A7C" w:rsidRPr="003D5A7C">
              <w:rPr>
                <w:rStyle w:val="Hyperlink"/>
                <w:rFonts w:ascii="Times New Roman" w:eastAsia="Times New Roman" w:hAnsi="Times New Roman" w:cs="Times New Roman"/>
                <w:bCs/>
                <w:noProof/>
                <w:kern w:val="36"/>
              </w:rPr>
              <w:t>10. Aksesi në të dhëna dhe qartësia</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_Toc67558936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6</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7" w:history="1">
            <w:r w:rsidR="003D5A7C" w:rsidRPr="003D5A7C">
              <w:rPr>
                <w:rStyle w:val="Hyperlink"/>
                <w:rFonts w:ascii="Times New Roman" w:eastAsia="Times New Roman" w:hAnsi="Times New Roman" w:cs="Times New Roman"/>
                <w:bCs/>
                <w:noProof/>
                <w:kern w:val="36"/>
              </w:rPr>
              <w:t>11. Manaxhimi i cilësisë</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_Toc67558937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7</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8" w:history="1">
            <w:r w:rsidR="003D5A7C" w:rsidRPr="003D5A7C">
              <w:rPr>
                <w:rStyle w:val="Hyperlink"/>
                <w:rFonts w:ascii="Times New Roman" w:eastAsia="Times New Roman" w:hAnsi="Times New Roman" w:cs="Times New Roman"/>
                <w:bCs/>
                <w:noProof/>
                <w:kern w:val="36"/>
              </w:rPr>
              <w:t>12. Rëndësia</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_Toc67558938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7</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39" w:history="1">
            <w:r w:rsidR="003D5A7C" w:rsidRPr="003D5A7C">
              <w:rPr>
                <w:rStyle w:val="Hyperlink"/>
                <w:rFonts w:ascii="Times New Roman" w:eastAsia="Times New Roman" w:hAnsi="Times New Roman" w:cs="Times New Roman"/>
                <w:bCs/>
                <w:noProof/>
                <w:kern w:val="36"/>
              </w:rPr>
              <w:t>13. Saktësia dhe besueshmëria</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_Toc67558939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8</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40" w:history="1">
            <w:r w:rsidR="003D5A7C" w:rsidRPr="003D5A7C">
              <w:rPr>
                <w:rStyle w:val="Hyperlink"/>
                <w:rFonts w:ascii="Times New Roman" w:eastAsia="Times New Roman" w:hAnsi="Times New Roman" w:cs="Times New Roman"/>
                <w:bCs/>
                <w:noProof/>
                <w:kern w:val="36"/>
              </w:rPr>
              <w:t>14. Afatet kohore dhe përpikmëria</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_Toc67558940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9</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41" w:history="1">
            <w:r w:rsidR="003D5A7C" w:rsidRPr="003D5A7C">
              <w:rPr>
                <w:rStyle w:val="Hyperlink"/>
                <w:rFonts w:ascii="Times New Roman" w:eastAsia="Times New Roman" w:hAnsi="Times New Roman" w:cs="Times New Roman"/>
                <w:bCs/>
                <w:noProof/>
                <w:kern w:val="36"/>
              </w:rPr>
              <w:t>15. Koherenca dhe Krahasueshmëria</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_Toc67558941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9</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42" w:history="1">
            <w:r w:rsidR="003D5A7C" w:rsidRPr="003D5A7C">
              <w:rPr>
                <w:rStyle w:val="Hyperlink"/>
                <w:rFonts w:ascii="Times New Roman" w:eastAsia="Times New Roman" w:hAnsi="Times New Roman" w:cs="Times New Roman"/>
                <w:bCs/>
                <w:noProof/>
                <w:kern w:val="36"/>
              </w:rPr>
              <w:t>16. Kostoja dhe ngarkesa</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_Toc67558942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10</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43" w:history="1">
            <w:r w:rsidR="003D5A7C" w:rsidRPr="003D5A7C">
              <w:rPr>
                <w:rStyle w:val="Hyperlink"/>
                <w:rFonts w:ascii="Times New Roman" w:eastAsia="Times New Roman" w:hAnsi="Times New Roman" w:cs="Times New Roman"/>
                <w:bCs/>
                <w:noProof/>
                <w:kern w:val="36"/>
              </w:rPr>
              <w:t>17. Rishikimi i të dhënave</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_Toc67558943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10</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44" w:history="1">
            <w:r w:rsidR="003D5A7C" w:rsidRPr="003D5A7C">
              <w:rPr>
                <w:rStyle w:val="Hyperlink"/>
                <w:rFonts w:ascii="Times New Roman" w:eastAsia="Times New Roman" w:hAnsi="Times New Roman" w:cs="Times New Roman"/>
                <w:bCs/>
                <w:noProof/>
                <w:kern w:val="36"/>
              </w:rPr>
              <w:t>18. Përpunimi statistikor</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_Toc67558944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10</w:t>
            </w:r>
            <w:r w:rsidR="003D5A7C" w:rsidRPr="003D5A7C">
              <w:rPr>
                <w:rFonts w:ascii="Times New Roman" w:hAnsi="Times New Roman" w:cs="Times New Roman"/>
                <w:noProof/>
                <w:webHidden/>
              </w:rPr>
              <w:fldChar w:fldCharType="end"/>
            </w:r>
          </w:hyperlink>
        </w:p>
        <w:p w:rsidR="003D5A7C" w:rsidRPr="003D5A7C" w:rsidRDefault="00265D56" w:rsidP="003D5A7C">
          <w:pPr>
            <w:pStyle w:val="TOC1"/>
            <w:tabs>
              <w:tab w:val="right" w:leader="dot" w:pos="9350"/>
            </w:tabs>
            <w:rPr>
              <w:rFonts w:ascii="Times New Roman" w:hAnsi="Times New Roman" w:cs="Times New Roman"/>
              <w:noProof/>
            </w:rPr>
          </w:pPr>
          <w:hyperlink w:anchor="_Toc67558945" w:history="1">
            <w:r w:rsidR="003D5A7C" w:rsidRPr="003D5A7C">
              <w:rPr>
                <w:rStyle w:val="Hyperlink"/>
                <w:rFonts w:ascii="Times New Roman" w:eastAsia="Times New Roman" w:hAnsi="Times New Roman" w:cs="Times New Roman"/>
                <w:bCs/>
                <w:noProof/>
                <w:kern w:val="36"/>
              </w:rPr>
              <w:t>19. Komente</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_Toc67558945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11</w:t>
            </w:r>
            <w:r w:rsidR="003D5A7C" w:rsidRPr="003D5A7C">
              <w:rPr>
                <w:rFonts w:ascii="Times New Roman" w:hAnsi="Times New Roman" w:cs="Times New Roman"/>
                <w:noProof/>
                <w:webHidden/>
              </w:rPr>
              <w:fldChar w:fldCharType="end"/>
            </w:r>
          </w:hyperlink>
        </w:p>
        <w:p w:rsidR="003D5A7C" w:rsidRDefault="00265D56" w:rsidP="003D5A7C">
          <w:pPr>
            <w:pStyle w:val="TOC1"/>
            <w:tabs>
              <w:tab w:val="right" w:leader="dot" w:pos="9350"/>
            </w:tabs>
            <w:rPr>
              <w:rFonts w:ascii="Times New Roman" w:eastAsiaTheme="minorHAnsi" w:hAnsi="Times New Roman" w:cs="Times New Roman"/>
              <w:sz w:val="24"/>
              <w:szCs w:val="24"/>
            </w:rPr>
          </w:pPr>
          <w:hyperlink w:anchor="_Toc67558946" w:history="1">
            <w:r w:rsidR="003D5A7C" w:rsidRPr="003D5A7C">
              <w:rPr>
                <w:rStyle w:val="Hyperlink"/>
                <w:rFonts w:ascii="Times New Roman" w:eastAsia="Times New Roman" w:hAnsi="Times New Roman" w:cs="Times New Roman"/>
                <w:bCs/>
                <w:noProof/>
                <w:kern w:val="36"/>
              </w:rPr>
              <w:t>Aneks</w:t>
            </w:r>
            <w:r w:rsidR="003D5A7C" w:rsidRPr="003D5A7C">
              <w:rPr>
                <w:rFonts w:ascii="Times New Roman" w:hAnsi="Times New Roman" w:cs="Times New Roman"/>
                <w:noProof/>
                <w:webHidden/>
              </w:rPr>
              <w:tab/>
            </w:r>
            <w:r w:rsidR="003D5A7C" w:rsidRPr="003D5A7C">
              <w:rPr>
                <w:rFonts w:ascii="Times New Roman" w:hAnsi="Times New Roman" w:cs="Times New Roman"/>
                <w:noProof/>
                <w:webHidden/>
              </w:rPr>
              <w:fldChar w:fldCharType="begin"/>
            </w:r>
            <w:r w:rsidR="003D5A7C" w:rsidRPr="003D5A7C">
              <w:rPr>
                <w:rFonts w:ascii="Times New Roman" w:hAnsi="Times New Roman" w:cs="Times New Roman"/>
                <w:noProof/>
                <w:webHidden/>
              </w:rPr>
              <w:instrText xml:space="preserve"> PAGEREF _Toc67558946 \h </w:instrText>
            </w:r>
            <w:r w:rsidR="003D5A7C" w:rsidRPr="003D5A7C">
              <w:rPr>
                <w:rFonts w:ascii="Times New Roman" w:hAnsi="Times New Roman" w:cs="Times New Roman"/>
                <w:noProof/>
                <w:webHidden/>
              </w:rPr>
            </w:r>
            <w:r w:rsidR="003D5A7C" w:rsidRPr="003D5A7C">
              <w:rPr>
                <w:rFonts w:ascii="Times New Roman" w:hAnsi="Times New Roman" w:cs="Times New Roman"/>
                <w:noProof/>
                <w:webHidden/>
              </w:rPr>
              <w:fldChar w:fldCharType="separate"/>
            </w:r>
            <w:r w:rsidR="003D5A7C" w:rsidRPr="003D5A7C">
              <w:rPr>
                <w:rFonts w:ascii="Times New Roman" w:hAnsi="Times New Roman" w:cs="Times New Roman"/>
                <w:noProof/>
                <w:webHidden/>
              </w:rPr>
              <w:t>11</w:t>
            </w:r>
            <w:r w:rsidR="003D5A7C" w:rsidRPr="003D5A7C">
              <w:rPr>
                <w:rFonts w:ascii="Times New Roman" w:hAnsi="Times New Roman" w:cs="Times New Roman"/>
                <w:noProof/>
                <w:webHidden/>
              </w:rPr>
              <w:fldChar w:fldCharType="end"/>
            </w:r>
          </w:hyperlink>
          <w:r w:rsidR="003D5A7C" w:rsidRPr="003D5A7C">
            <w:rPr>
              <w:rFonts w:ascii="Times New Roman" w:hAnsi="Times New Roman" w:cs="Times New Roman"/>
            </w:rPr>
            <w:fldChar w:fldCharType="end"/>
          </w:r>
        </w:p>
      </w:sdtContent>
    </w:sdt>
    <w:p w:rsidR="003D5A7C" w:rsidRDefault="003D5A7C" w:rsidP="003D5A7C"/>
    <w:p w:rsidR="00927445" w:rsidRPr="000D7D75" w:rsidRDefault="00927445" w:rsidP="00927445">
      <w:pPr>
        <w:pStyle w:val="TOC1"/>
        <w:tabs>
          <w:tab w:val="right" w:leader="dot" w:pos="10456"/>
        </w:tabs>
        <w:rPr>
          <w:rFonts w:ascii="Times New Roman" w:hAnsi="Times New Roman" w:cs="Times New Roman"/>
          <w:sz w:val="24"/>
          <w:szCs w:val="24"/>
        </w:rPr>
      </w:pPr>
    </w:p>
    <w:tbl>
      <w:tblPr>
        <w:tblW w:w="10260" w:type="dxa"/>
        <w:tblInd w:w="-342" w:type="dxa"/>
        <w:tblCellMar>
          <w:top w:w="15" w:type="dxa"/>
          <w:left w:w="15" w:type="dxa"/>
          <w:bottom w:w="15" w:type="dxa"/>
          <w:right w:w="15" w:type="dxa"/>
        </w:tblCellMar>
        <w:tblLook w:val="04A0" w:firstRow="1" w:lastRow="0" w:firstColumn="1" w:lastColumn="0" w:noHBand="0" w:noVBand="1"/>
      </w:tblPr>
      <w:tblGrid>
        <w:gridCol w:w="2744"/>
        <w:gridCol w:w="7516"/>
      </w:tblGrid>
      <w:tr w:rsidR="00236A38" w:rsidRPr="00236A38" w:rsidTr="003D5A7C">
        <w:trPr>
          <w:trHeight w:val="567"/>
        </w:trPr>
        <w:tc>
          <w:tcPr>
            <w:tcW w:w="10260" w:type="dxa"/>
            <w:gridSpan w:val="2"/>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927445" w:rsidP="00236A38">
            <w:pPr>
              <w:spacing w:after="100" w:afterAutospacing="1" w:line="240" w:lineRule="auto"/>
              <w:outlineLvl w:val="0"/>
              <w:rPr>
                <w:rFonts w:ascii="Times New Roman" w:eastAsia="Times New Roman" w:hAnsi="Times New Roman" w:cs="Times New Roman"/>
                <w:b/>
                <w:bCs/>
                <w:kern w:val="36"/>
                <w:sz w:val="48"/>
                <w:szCs w:val="48"/>
              </w:rPr>
            </w:pPr>
            <w:r w:rsidRPr="00236A38">
              <w:rPr>
                <w:rFonts w:ascii="Times New Roman" w:eastAsia="Times New Roman" w:hAnsi="Times New Roman" w:cs="Times New Roman"/>
                <w:sz w:val="24"/>
                <w:szCs w:val="24"/>
              </w:rPr>
              <w:lastRenderedPageBreak/>
              <w:t> </w:t>
            </w:r>
            <w:bookmarkStart w:id="0" w:name="_Toc474418806"/>
            <w:bookmarkStart w:id="1" w:name="_Toc67558927"/>
            <w:bookmarkEnd w:id="0"/>
            <w:r w:rsidR="00236A38" w:rsidRPr="00236A38">
              <w:rPr>
                <w:rFonts w:ascii="Times New Roman" w:eastAsia="Times New Roman" w:hAnsi="Times New Roman" w:cs="Times New Roman"/>
                <w:b/>
                <w:bCs/>
                <w:color w:val="000000"/>
                <w:kern w:val="36"/>
                <w:sz w:val="24"/>
                <w:szCs w:val="24"/>
              </w:rPr>
              <w:t>1. Kontakt</w:t>
            </w:r>
            <w:bookmarkEnd w:id="1"/>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1.1. Institucioni i kontaktit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INSTAT, Instituti i Statistikave</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1.2. Njësia e kontaktit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8C55A7" w:rsidP="00927445">
            <w:pPr>
              <w:spacing w:before="240" w:after="240" w:line="240" w:lineRule="auto"/>
              <w:ind w:left="101" w:right="86"/>
              <w:jc w:val="both"/>
              <w:rPr>
                <w:rFonts w:ascii="Times New Roman" w:eastAsia="Times New Roman" w:hAnsi="Times New Roman" w:cs="Times New Roman"/>
                <w:sz w:val="24"/>
                <w:szCs w:val="24"/>
              </w:rPr>
            </w:pPr>
            <w:r w:rsidRPr="007F1F86">
              <w:rPr>
                <w:rFonts w:ascii="Times New Roman" w:eastAsia="Times New Roman" w:hAnsi="Times New Roman" w:cs="Times New Roman"/>
                <w:color w:val="000000"/>
                <w:sz w:val="24"/>
                <w:szCs w:val="24"/>
              </w:rPr>
              <w:t>Sektori i Çmimeve</w:t>
            </w:r>
            <w:r w:rsidR="00927445">
              <w:rPr>
                <w:rFonts w:ascii="Times New Roman" w:eastAsia="Times New Roman" w:hAnsi="Times New Roman" w:cs="Times New Roman"/>
                <w:color w:val="000000"/>
                <w:sz w:val="24"/>
                <w:szCs w:val="24"/>
              </w:rPr>
              <w:t xml:space="preserve">, </w:t>
            </w:r>
            <w:r w:rsidR="005E0728" w:rsidRPr="005E0728">
              <w:rPr>
                <w:rFonts w:ascii="Times New Roman" w:eastAsia="Times New Roman" w:hAnsi="Times New Roman" w:cs="Times New Roman"/>
                <w:color w:val="000000"/>
                <w:sz w:val="24"/>
                <w:szCs w:val="24"/>
              </w:rPr>
              <w:t>Drejtoria e Statistikave të Sektorit Real</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1.3. Personi i kontaktit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622141" w:rsidP="00570E3E">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Rovena Gjyshi</w:t>
            </w:r>
            <w:r w:rsidR="00236A38" w:rsidRPr="00236A38">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1.4. Funksioni i personit të kontaktit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B50DE6">
            <w:pPr>
              <w:spacing w:before="240" w:after="240" w:line="240" w:lineRule="auto"/>
              <w:ind w:left="101" w:right="86"/>
              <w:jc w:val="both"/>
              <w:rPr>
                <w:rFonts w:ascii="Times New Roman" w:eastAsia="Times New Roman" w:hAnsi="Times New Roman" w:cs="Times New Roman"/>
                <w:sz w:val="24"/>
                <w:szCs w:val="24"/>
              </w:rPr>
            </w:pPr>
            <w:r w:rsidRPr="00321B2E">
              <w:rPr>
                <w:rFonts w:ascii="Times New Roman" w:eastAsia="Times New Roman" w:hAnsi="Times New Roman" w:cs="Times New Roman"/>
                <w:color w:val="000000"/>
                <w:sz w:val="24"/>
                <w:szCs w:val="24"/>
              </w:rPr>
              <w:t>Specialist</w:t>
            </w:r>
            <w:r w:rsidR="00B50DE6" w:rsidRPr="00321B2E">
              <w:rPr>
                <w:rFonts w:ascii="Times New Roman" w:eastAsia="Times New Roman" w:hAnsi="Times New Roman" w:cs="Times New Roman"/>
                <w:color w:val="000000"/>
                <w:sz w:val="24"/>
                <w:szCs w:val="24"/>
              </w:rPr>
              <w:t>e</w:t>
            </w:r>
            <w:r w:rsidRPr="00321B2E">
              <w:rPr>
                <w:rFonts w:ascii="Times New Roman" w:eastAsia="Times New Roman" w:hAnsi="Times New Roman" w:cs="Times New Roman"/>
                <w:color w:val="000000"/>
                <w:sz w:val="24"/>
                <w:szCs w:val="24"/>
              </w:rPr>
              <w:t xml:space="preserve"> në </w:t>
            </w:r>
            <w:r w:rsidR="000A1D5E" w:rsidRPr="00321B2E">
              <w:rPr>
                <w:rFonts w:ascii="Times New Roman" w:eastAsia="Times New Roman" w:hAnsi="Times New Roman" w:cs="Times New Roman"/>
                <w:color w:val="000000"/>
                <w:sz w:val="24"/>
                <w:szCs w:val="24"/>
              </w:rPr>
              <w:t>Sektorin e Çmimeve</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1.5. Adresa postare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437EB4" w:rsidP="00570E3E">
            <w:pPr>
              <w:spacing w:before="240" w:after="240" w:line="240" w:lineRule="auto"/>
              <w:ind w:left="101" w:right="86"/>
              <w:jc w:val="both"/>
              <w:rPr>
                <w:rFonts w:ascii="Times New Roman" w:eastAsia="Times New Roman" w:hAnsi="Times New Roman" w:cs="Times New Roman"/>
                <w:sz w:val="24"/>
                <w:szCs w:val="24"/>
              </w:rPr>
            </w:pPr>
            <w:r>
              <w:rPr>
                <w:rFonts w:ascii="Times New Roman" w:hAnsi="Times New Roman" w:cs="Times New Roman"/>
                <w:color w:val="000000"/>
                <w:sz w:val="24"/>
                <w:szCs w:val="24"/>
              </w:rPr>
              <w:t>Rr. Vllazën Huta, Ndërtes</w:t>
            </w:r>
            <w:r w:rsidR="00622141">
              <w:rPr>
                <w:rFonts w:ascii="Times New Roman" w:hAnsi="Times New Roman" w:cs="Times New Roman"/>
                <w:color w:val="000000"/>
                <w:sz w:val="24"/>
                <w:szCs w:val="24"/>
              </w:rPr>
              <w:t>a 35, Hyrja 1, Tiranë, Shqipëri</w:t>
            </w:r>
            <w:r>
              <w:rPr>
                <w:rFonts w:ascii="Times New Roman" w:hAnsi="Times New Roman" w:cs="Times New Roman"/>
                <w:color w:val="000000"/>
                <w:sz w:val="24"/>
                <w:szCs w:val="24"/>
              </w:rPr>
              <w:t>, Kodi Postar 1017</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1.6. Adresa elektronike (e-mail)</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B76D81" w:rsidRDefault="00265D56" w:rsidP="00622141">
            <w:pPr>
              <w:spacing w:before="240" w:after="240" w:line="240" w:lineRule="auto"/>
              <w:ind w:left="101" w:right="86"/>
              <w:jc w:val="both"/>
              <w:rPr>
                <w:rFonts w:ascii="Times New Roman" w:eastAsia="Times New Roman" w:hAnsi="Times New Roman" w:cs="Times New Roman"/>
                <w:sz w:val="24"/>
                <w:szCs w:val="24"/>
                <w:u w:val="single" w:color="0000FF"/>
              </w:rPr>
            </w:pPr>
            <w:hyperlink r:id="rId9" w:history="1">
              <w:r w:rsidR="00622141" w:rsidRPr="005C090E">
                <w:rPr>
                  <w:rStyle w:val="Hyperlink"/>
                  <w:rFonts w:ascii="Times New Roman" w:eastAsia="Times New Roman" w:hAnsi="Times New Roman" w:cs="Times New Roman"/>
                  <w:sz w:val="24"/>
                  <w:szCs w:val="24"/>
                  <w:u w:color="0000FF"/>
                </w:rPr>
                <w:t>rgjyshi@instat.gov.al</w:t>
              </w:r>
            </w:hyperlink>
            <w:r w:rsidR="00236A38" w:rsidRPr="00B76D81">
              <w:rPr>
                <w:rFonts w:ascii="Times New Roman" w:eastAsia="Times New Roman" w:hAnsi="Times New Roman" w:cs="Times New Roman"/>
                <w:color w:val="000000"/>
                <w:sz w:val="24"/>
                <w:szCs w:val="24"/>
                <w:u w:val="single" w:color="0000FF"/>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1.7. Numri i telefonit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+(355) 4 2222411 / +(355) 4 2233356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1.8. Numri i faksit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+(355) 4 2228300 </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2" w:name="_Toc474418807"/>
            <w:bookmarkStart w:id="3" w:name="_Toc67558928"/>
            <w:bookmarkEnd w:id="2"/>
            <w:r w:rsidRPr="00236A38">
              <w:rPr>
                <w:rFonts w:ascii="Times New Roman" w:eastAsia="Times New Roman" w:hAnsi="Times New Roman" w:cs="Times New Roman"/>
                <w:b/>
                <w:bCs/>
                <w:color w:val="000000"/>
                <w:kern w:val="36"/>
                <w:sz w:val="24"/>
                <w:szCs w:val="24"/>
              </w:rPr>
              <w:t>2. Përditësimi i metadatave</w:t>
            </w:r>
            <w:bookmarkEnd w:id="3"/>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2.1. Çertifikimi i fundit i metadatës</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9414A7" w:rsidRDefault="00236A38" w:rsidP="00820A1F">
            <w:pPr>
              <w:spacing w:before="240" w:after="240" w:line="240" w:lineRule="auto"/>
              <w:ind w:left="101" w:right="86"/>
              <w:jc w:val="both"/>
              <w:rPr>
                <w:rFonts w:ascii="Times New Roman" w:eastAsia="Times New Roman" w:hAnsi="Times New Roman" w:cs="Times New Roman"/>
                <w:sz w:val="24"/>
                <w:szCs w:val="24"/>
              </w:rPr>
            </w:pPr>
            <w:r w:rsidRPr="009414A7">
              <w:rPr>
                <w:rFonts w:ascii="Times New Roman" w:eastAsia="Times New Roman" w:hAnsi="Times New Roman" w:cs="Times New Roman"/>
                <w:color w:val="000000"/>
                <w:sz w:val="24"/>
                <w:szCs w:val="24"/>
              </w:rPr>
              <w:t>04.03.20</w:t>
            </w:r>
            <w:r w:rsidR="0054162C" w:rsidRPr="009414A7">
              <w:rPr>
                <w:rFonts w:ascii="Times New Roman" w:eastAsia="Times New Roman" w:hAnsi="Times New Roman" w:cs="Times New Roman"/>
                <w:color w:val="000000"/>
                <w:sz w:val="24"/>
                <w:szCs w:val="24"/>
              </w:rPr>
              <w:t>2</w:t>
            </w:r>
            <w:r w:rsidR="00820A1F">
              <w:rPr>
                <w:rFonts w:ascii="Times New Roman" w:eastAsia="Times New Roman" w:hAnsi="Times New Roman" w:cs="Times New Roman"/>
                <w:color w:val="000000"/>
                <w:sz w:val="24"/>
                <w:szCs w:val="24"/>
              </w:rPr>
              <w:t>1</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2.2. Publikimi i fundit i metadatës</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9414A7" w:rsidRDefault="0054162C" w:rsidP="00820A1F">
            <w:pPr>
              <w:spacing w:before="240" w:after="240" w:line="240" w:lineRule="auto"/>
              <w:ind w:left="101" w:right="86"/>
              <w:jc w:val="both"/>
              <w:rPr>
                <w:rFonts w:ascii="Times New Roman" w:eastAsia="Times New Roman" w:hAnsi="Times New Roman" w:cs="Times New Roman"/>
                <w:sz w:val="24"/>
                <w:szCs w:val="24"/>
              </w:rPr>
            </w:pPr>
            <w:r w:rsidRPr="009414A7">
              <w:rPr>
                <w:rFonts w:ascii="Times New Roman" w:eastAsia="Times New Roman" w:hAnsi="Times New Roman" w:cs="Times New Roman"/>
                <w:color w:val="000000"/>
                <w:sz w:val="24"/>
                <w:szCs w:val="24"/>
              </w:rPr>
              <w:t>04.03.20</w:t>
            </w:r>
            <w:r w:rsidR="00820A1F">
              <w:rPr>
                <w:rFonts w:ascii="Times New Roman" w:eastAsia="Times New Roman" w:hAnsi="Times New Roman" w:cs="Times New Roman"/>
                <w:color w:val="000000"/>
                <w:sz w:val="24"/>
                <w:szCs w:val="24"/>
              </w:rPr>
              <w:t>20</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2.3. Përditësimi i fundit i metadatës</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9414A7" w:rsidRDefault="00236A38" w:rsidP="00820A1F">
            <w:pPr>
              <w:spacing w:before="240" w:after="240" w:line="240" w:lineRule="auto"/>
              <w:ind w:left="101" w:right="86"/>
              <w:jc w:val="both"/>
              <w:rPr>
                <w:rFonts w:ascii="Times New Roman" w:eastAsia="Times New Roman" w:hAnsi="Times New Roman" w:cs="Times New Roman"/>
                <w:sz w:val="24"/>
                <w:szCs w:val="24"/>
              </w:rPr>
            </w:pPr>
            <w:r w:rsidRPr="009414A7">
              <w:rPr>
                <w:rFonts w:ascii="Times New Roman" w:eastAsia="Times New Roman" w:hAnsi="Times New Roman" w:cs="Times New Roman"/>
                <w:color w:val="000000"/>
                <w:sz w:val="24"/>
                <w:szCs w:val="24"/>
              </w:rPr>
              <w:t>04.03.20</w:t>
            </w:r>
            <w:r w:rsidR="0054162C" w:rsidRPr="009414A7">
              <w:rPr>
                <w:rFonts w:ascii="Times New Roman" w:eastAsia="Times New Roman" w:hAnsi="Times New Roman" w:cs="Times New Roman"/>
                <w:color w:val="000000"/>
                <w:sz w:val="24"/>
                <w:szCs w:val="24"/>
              </w:rPr>
              <w:t>2</w:t>
            </w:r>
            <w:r w:rsidR="00820A1F">
              <w:rPr>
                <w:rFonts w:ascii="Times New Roman" w:eastAsia="Times New Roman" w:hAnsi="Times New Roman" w:cs="Times New Roman"/>
                <w:color w:val="000000"/>
                <w:sz w:val="24"/>
                <w:szCs w:val="24"/>
              </w:rPr>
              <w:t>1</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4" w:name="_Toc474418808"/>
            <w:bookmarkStart w:id="5" w:name="_Toc67558929"/>
            <w:bookmarkEnd w:id="4"/>
            <w:r w:rsidRPr="00236A38">
              <w:rPr>
                <w:rFonts w:ascii="Times New Roman" w:eastAsia="Times New Roman" w:hAnsi="Times New Roman" w:cs="Times New Roman"/>
                <w:b/>
                <w:bCs/>
                <w:color w:val="000000"/>
                <w:kern w:val="36"/>
                <w:sz w:val="24"/>
                <w:szCs w:val="24"/>
              </w:rPr>
              <w:t>3. Paraqitja statistikore</w:t>
            </w:r>
            <w:bookmarkEnd w:id="5"/>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3.1. Përshkrimi i të dhënave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Indeksi i Kushtimit në Ndërtim për banesa (IKN për banesa) mat ecurinë e çmimeve të faktorëve të prodhimit, lëndëve të para, punës, makinerisë, transportit, energjisë dhe kostove të tjera që përdoren në projektet e ndërtimit. Të dhënat paraqiten në formë indeksi dhe ndryshime në përqindje (tremujore, vjetore). Indeksi i Kushtimit në Ndërtim (për banesa) mat ndryshimin në kostot e ndërtimit të periudhës koren</w:t>
            </w:r>
            <w:r w:rsidR="00570E3E">
              <w:rPr>
                <w:rFonts w:ascii="Times New Roman" w:eastAsia="Times New Roman" w:hAnsi="Times New Roman" w:cs="Times New Roman"/>
                <w:color w:val="000000"/>
                <w:sz w:val="24"/>
                <w:szCs w:val="24"/>
              </w:rPr>
              <w:t xml:space="preserve">te krahasuar me periudhën bazë. </w:t>
            </w:r>
            <w:r w:rsidRPr="00236A38">
              <w:rPr>
                <w:rFonts w:ascii="Times New Roman" w:eastAsia="Times New Roman" w:hAnsi="Times New Roman" w:cs="Times New Roman"/>
                <w:color w:val="000000"/>
                <w:sz w:val="24"/>
                <w:szCs w:val="24"/>
              </w:rPr>
              <w:t xml:space="preserve">Për llogaritjen e IKN (për banesa) </w:t>
            </w:r>
            <w:r w:rsidRPr="00236A38">
              <w:rPr>
                <w:rFonts w:ascii="Times New Roman" w:eastAsia="Times New Roman" w:hAnsi="Times New Roman" w:cs="Times New Roman"/>
                <w:color w:val="000000"/>
                <w:sz w:val="24"/>
                <w:szCs w:val="24"/>
              </w:rPr>
              <w:lastRenderedPageBreak/>
              <w:t xml:space="preserve">krahasohen çmimet e materialeve të përdorura për ndërtim, kostot e orëve të punës të punonjësve në ndërtim, kostot operacionale dhe të mirëmbajtjes të makinerive dhe kostot e pajisjeve mekanike.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lastRenderedPageBreak/>
              <w:t>3.2. Sistemi i klasifikimit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0E3E" w:rsidRDefault="00236A38" w:rsidP="00570E3E">
            <w:pPr>
              <w:spacing w:before="240"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Klasifikimi i përdorur për këto statistika është Klasifikimi Statistikor i Aktiviteteve Ekonomike (NVE Rev.2). Shpenzimet janë klasifikuar në përputhje me klasifikimin që përdor EUROSTAT për Indeksin e Kushtimit në Ndërtim, në gjashtë grupe kryesore si më poshtë: </w:t>
            </w:r>
          </w:p>
          <w:p w:rsidR="00570E3E" w:rsidRDefault="00236A38" w:rsidP="00570E3E">
            <w:pPr>
              <w:spacing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 Materiale ndërtimi </w:t>
            </w:r>
          </w:p>
          <w:p w:rsidR="00570E3E" w:rsidRDefault="00236A38" w:rsidP="00570E3E">
            <w:pPr>
              <w:spacing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 Shpenzime për paga </w:t>
            </w:r>
          </w:p>
          <w:p w:rsidR="00570E3E" w:rsidRDefault="00236A38" w:rsidP="00570E3E">
            <w:pPr>
              <w:spacing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 Shpenzime për makineri </w:t>
            </w:r>
          </w:p>
          <w:p w:rsidR="00570E3E" w:rsidRDefault="00236A38" w:rsidP="00570E3E">
            <w:pPr>
              <w:spacing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 Shpenzime transporti </w:t>
            </w:r>
          </w:p>
          <w:p w:rsidR="00570E3E" w:rsidRDefault="00236A38" w:rsidP="00570E3E">
            <w:pPr>
              <w:spacing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 Shpenzime për energji </w:t>
            </w:r>
          </w:p>
          <w:p w:rsidR="00236A38" w:rsidRPr="00236A38" w:rsidRDefault="00236A38" w:rsidP="00570E3E">
            <w:pPr>
              <w:spacing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Shpenzime të tjera</w:t>
            </w:r>
            <w:r w:rsidR="00045568">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3.3. Mbulimi i sektorit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C52A06" w:rsidRDefault="00236A38" w:rsidP="00C52A06">
            <w:pPr>
              <w:spacing w:before="240" w:after="24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Indeksi i Kushtimit në Ndërtim përf</w:t>
            </w:r>
            <w:r w:rsidR="00C52A06">
              <w:rPr>
                <w:rFonts w:ascii="Times New Roman" w:eastAsia="Times New Roman" w:hAnsi="Times New Roman" w:cs="Times New Roman"/>
                <w:color w:val="000000"/>
                <w:sz w:val="24"/>
                <w:szCs w:val="24"/>
              </w:rPr>
              <w:t xml:space="preserve">shin aktivitetin e seksionit </w:t>
            </w:r>
            <w:r w:rsidR="00570E3E">
              <w:rPr>
                <w:rFonts w:ascii="Times New Roman" w:eastAsia="Times New Roman" w:hAnsi="Times New Roman" w:cs="Times New Roman"/>
                <w:color w:val="000000"/>
                <w:sz w:val="24"/>
                <w:szCs w:val="24"/>
              </w:rPr>
              <w:t>F:</w:t>
            </w:r>
            <w:r w:rsidR="00C52A06">
              <w:rPr>
                <w:rFonts w:ascii="Times New Roman" w:eastAsia="Times New Roman" w:hAnsi="Times New Roman" w:cs="Times New Roman"/>
                <w:color w:val="000000"/>
                <w:sz w:val="24"/>
                <w:szCs w:val="24"/>
              </w:rPr>
              <w:t xml:space="preserve"> </w:t>
            </w:r>
            <w:r w:rsidRPr="00236A38">
              <w:rPr>
                <w:rFonts w:ascii="Times New Roman" w:eastAsia="Times New Roman" w:hAnsi="Times New Roman" w:cs="Times New Roman"/>
                <w:color w:val="000000"/>
                <w:sz w:val="24"/>
                <w:szCs w:val="24"/>
              </w:rPr>
              <w:t>“Ndërtim” (kodet 41, 42, 43) dhe aktiv</w:t>
            </w:r>
            <w:r w:rsidR="00C52A06">
              <w:rPr>
                <w:rFonts w:ascii="Times New Roman" w:eastAsia="Times New Roman" w:hAnsi="Times New Roman" w:cs="Times New Roman"/>
                <w:color w:val="000000"/>
                <w:sz w:val="24"/>
                <w:szCs w:val="24"/>
              </w:rPr>
              <w:t xml:space="preserve">itetet e Tregtisë me Shumicë të </w:t>
            </w:r>
            <w:r w:rsidRPr="00236A38">
              <w:rPr>
                <w:rFonts w:ascii="Times New Roman" w:eastAsia="Times New Roman" w:hAnsi="Times New Roman" w:cs="Times New Roman"/>
                <w:color w:val="000000"/>
                <w:sz w:val="24"/>
                <w:szCs w:val="24"/>
              </w:rPr>
              <w:t xml:space="preserve">materialeve të </w:t>
            </w:r>
            <w:r w:rsidR="00570E3E">
              <w:rPr>
                <w:rFonts w:ascii="Times New Roman" w:eastAsia="Times New Roman" w:hAnsi="Times New Roman" w:cs="Times New Roman"/>
                <w:color w:val="000000"/>
                <w:sz w:val="24"/>
                <w:szCs w:val="24"/>
              </w:rPr>
              <w:t>ndërtimit:</w:t>
            </w:r>
            <w:r w:rsidR="00C52A06">
              <w:rPr>
                <w:rFonts w:ascii="Times New Roman" w:eastAsia="Times New Roman" w:hAnsi="Times New Roman" w:cs="Times New Roman"/>
                <w:color w:val="000000"/>
                <w:sz w:val="24"/>
                <w:szCs w:val="24"/>
              </w:rPr>
              <w:t xml:space="preserve"> (kodet </w:t>
            </w:r>
            <w:r w:rsidR="00570E3E">
              <w:rPr>
                <w:rFonts w:ascii="Times New Roman" w:eastAsia="Times New Roman" w:hAnsi="Times New Roman" w:cs="Times New Roman"/>
                <w:color w:val="000000"/>
                <w:sz w:val="24"/>
                <w:szCs w:val="24"/>
              </w:rPr>
              <w:t xml:space="preserve">46.73, 46.74, </w:t>
            </w:r>
            <w:r w:rsidRPr="00236A38">
              <w:rPr>
                <w:rFonts w:ascii="Times New Roman" w:eastAsia="Times New Roman" w:hAnsi="Times New Roman" w:cs="Times New Roman"/>
                <w:color w:val="000000"/>
                <w:sz w:val="24"/>
                <w:szCs w:val="24"/>
              </w:rPr>
              <w:t>47.52</w:t>
            </w:r>
            <w:r w:rsidR="00C52A06">
              <w:rPr>
                <w:rFonts w:ascii="Times New Roman" w:eastAsia="Times New Roman" w:hAnsi="Times New Roman" w:cs="Times New Roman"/>
                <w:color w:val="000000"/>
                <w:sz w:val="24"/>
                <w:szCs w:val="24"/>
              </w:rPr>
              <w:t xml:space="preserve">) sipas </w:t>
            </w:r>
            <w:r w:rsidRPr="00236A38">
              <w:rPr>
                <w:rFonts w:ascii="Times New Roman" w:eastAsia="Times New Roman" w:hAnsi="Times New Roman" w:cs="Times New Roman"/>
                <w:color w:val="000000"/>
                <w:sz w:val="24"/>
                <w:szCs w:val="24"/>
              </w:rPr>
              <w:t xml:space="preserve">Nomenklaturës së Veprimtarive Ekonomike, Rev.2.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3.4. Koncepte statistikore dhe përkufizime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2A06" w:rsidRDefault="00236A38" w:rsidP="00C52A06">
            <w:pPr>
              <w:spacing w:before="240"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Indeksi i Kushtimit në Ndërtim (për Banesat) mat ecurinë e çmimeve të: materialeve të ndërtimit, kostos së punës, makinerisë, transportit, energjisë dhe kostove të tjera që përdoren në ndërtimin e një banese tipike (8-10 kate). Indeksi i shpenzimeve materiale mat ecurinë e çmimeve të materialeve kryesore të ndërtimit. </w:t>
            </w:r>
          </w:p>
          <w:p w:rsidR="00C52A06" w:rsidRDefault="00236A38" w:rsidP="00C52A06">
            <w:pPr>
              <w:spacing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Ky</w:t>
            </w:r>
            <w:r w:rsidR="00C52A06">
              <w:rPr>
                <w:rFonts w:ascii="Times New Roman" w:eastAsia="Times New Roman" w:hAnsi="Times New Roman" w:cs="Times New Roman"/>
                <w:color w:val="000000"/>
                <w:sz w:val="24"/>
                <w:szCs w:val="24"/>
              </w:rPr>
              <w:t xml:space="preserve"> grup përbëhet nga tre nëngrupe:</w:t>
            </w:r>
          </w:p>
          <w:p w:rsidR="00C52A06" w:rsidRDefault="00236A38" w:rsidP="00C52A06">
            <w:pPr>
              <w:spacing w:after="0" w:line="240" w:lineRule="exact"/>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 Materialet e ndërtimit </w:t>
            </w:r>
          </w:p>
          <w:p w:rsidR="00C52A06" w:rsidRDefault="00236A38" w:rsidP="00C52A06">
            <w:pPr>
              <w:spacing w:after="0" w:line="240" w:lineRule="exact"/>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Materialet elektrike dhe të komunikimit</w:t>
            </w:r>
          </w:p>
          <w:p w:rsidR="00C52A06" w:rsidRDefault="00236A38" w:rsidP="00C52A06">
            <w:pPr>
              <w:spacing w:after="0" w:line="240" w:lineRule="exact"/>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 Materialet hidro-sanitare. </w:t>
            </w:r>
          </w:p>
          <w:p w:rsidR="00236A38" w:rsidRPr="00236A38" w:rsidRDefault="00236A38" w:rsidP="00C52A06">
            <w:pPr>
              <w:spacing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Indeksi i kostove të punës mat ecurinë e fondit të pagave për inxhinierët, teknikët dhe punëtorët</w:t>
            </w:r>
            <w:r w:rsidR="00045568">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 xml:space="preserve"> </w:t>
            </w:r>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3.5. Njësia statistikore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8F21CC">
            <w:pPr>
              <w:spacing w:before="20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Njësitë statistikore për IKN janë ndërmarrjet sipas Regjistrit Statistikor të Ndërmarrjeve që kanë si aktivitet të tyre shitjen me shumicë të materialeve të ndërtimit dhe kompanitë e ndërtimit. </w:t>
            </w:r>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3.6. Popullata statistikore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8F21CC" w:rsidRDefault="00236A38" w:rsidP="008F21CC">
            <w:pPr>
              <w:spacing w:before="20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Popullata statistikore përfshin të gjithë ndërmarrjet aktive në Regjistrin Statistikor të Ndërmarrjeve dhe klasifikohen në aktivitetin Ndërtim dhe Tregti materiale ndërtimi. </w:t>
            </w:r>
          </w:p>
        </w:tc>
      </w:tr>
      <w:tr w:rsidR="00236A38" w:rsidRPr="00236A38" w:rsidTr="003D5A7C">
        <w:trPr>
          <w:trHeight w:val="610"/>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3.7. Zona e referencës</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8F21CC">
            <w:pPr>
              <w:spacing w:before="20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Të dhënat e IKN mbulojnë të gjithë territorin e vendit.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lastRenderedPageBreak/>
              <w:t>3.8. Mbulimi në kohë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8F21CC" w:rsidRDefault="00236A38" w:rsidP="008F21CC">
            <w:pPr>
              <w:spacing w:before="20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Seria kohore e të dhënave të IKN (për banesa) është nga viti 1993</w:t>
            </w:r>
            <w:r w:rsidR="00805D46">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321B2E" w:rsidRDefault="00236A38" w:rsidP="00236A38">
            <w:pPr>
              <w:spacing w:before="100" w:beforeAutospacing="1" w:after="0" w:line="240" w:lineRule="auto"/>
              <w:rPr>
                <w:rFonts w:ascii="Times New Roman" w:eastAsia="Times New Roman" w:hAnsi="Times New Roman" w:cs="Times New Roman"/>
                <w:sz w:val="24"/>
                <w:szCs w:val="24"/>
              </w:rPr>
            </w:pPr>
            <w:r w:rsidRPr="00321B2E">
              <w:rPr>
                <w:rFonts w:ascii="Times New Roman" w:eastAsia="Times New Roman" w:hAnsi="Times New Roman" w:cs="Times New Roman"/>
                <w:color w:val="000000"/>
                <w:sz w:val="24"/>
                <w:szCs w:val="24"/>
              </w:rPr>
              <w:t>3.9. Periudha bazë</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8F21CC" w:rsidRDefault="005258CD" w:rsidP="008F21CC">
            <w:pPr>
              <w:spacing w:before="200" w:line="240" w:lineRule="auto"/>
              <w:ind w:left="101" w:right="86"/>
              <w:jc w:val="both"/>
              <w:rPr>
                <w:rFonts w:ascii="Times New Roman" w:eastAsia="Times New Roman" w:hAnsi="Times New Roman" w:cs="Times New Roman"/>
                <w:color w:val="000000"/>
                <w:sz w:val="24"/>
                <w:szCs w:val="24"/>
              </w:rPr>
            </w:pPr>
            <w:r w:rsidRPr="00321B2E">
              <w:rPr>
                <w:rFonts w:ascii="Times New Roman" w:eastAsia="Times New Roman" w:hAnsi="Times New Roman" w:cs="Times New Roman"/>
                <w:color w:val="000000"/>
                <w:sz w:val="24"/>
                <w:szCs w:val="24"/>
              </w:rPr>
              <w:t xml:space="preserve">Periudha </w:t>
            </w:r>
            <w:r w:rsidR="00236A38" w:rsidRPr="00321B2E">
              <w:rPr>
                <w:rFonts w:ascii="Times New Roman" w:eastAsia="Times New Roman" w:hAnsi="Times New Roman" w:cs="Times New Roman"/>
                <w:color w:val="000000"/>
                <w:sz w:val="24"/>
                <w:szCs w:val="24"/>
              </w:rPr>
              <w:t xml:space="preserve">bazë për të dhënat e IKN (për banesa) është </w:t>
            </w:r>
            <w:r w:rsidR="008539A1" w:rsidRPr="00321B2E">
              <w:rPr>
                <w:rFonts w:ascii="Times New Roman" w:eastAsia="Times New Roman" w:hAnsi="Times New Roman" w:cs="Times New Roman"/>
                <w:color w:val="000000"/>
                <w:sz w:val="24"/>
                <w:szCs w:val="24"/>
              </w:rPr>
              <w:t>viti 2011</w:t>
            </w:r>
            <w:r w:rsidR="00236A38" w:rsidRPr="00321B2E">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6" w:name="_Toc474418809"/>
            <w:bookmarkStart w:id="7" w:name="_Toc67558930"/>
            <w:bookmarkEnd w:id="6"/>
            <w:r w:rsidRPr="00236A38">
              <w:rPr>
                <w:rFonts w:ascii="Times New Roman" w:eastAsia="Times New Roman" w:hAnsi="Times New Roman" w:cs="Times New Roman"/>
                <w:b/>
                <w:bCs/>
                <w:color w:val="000000"/>
                <w:kern w:val="36"/>
                <w:sz w:val="24"/>
                <w:szCs w:val="24"/>
              </w:rPr>
              <w:t>4. Njësia matëse</w:t>
            </w:r>
            <w:bookmarkEnd w:id="7"/>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597C" w:rsidRDefault="00236A38" w:rsidP="008F21CC">
            <w:pPr>
              <w:spacing w:before="200" w:after="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sz w:val="24"/>
                <w:szCs w:val="24"/>
              </w:rPr>
              <w:t xml:space="preserve">Njësitë e matjes janë: </w:t>
            </w:r>
          </w:p>
          <w:p w:rsidR="006E597C" w:rsidRDefault="00236A38" w:rsidP="006E597C">
            <w:pPr>
              <w:spacing w:after="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sz w:val="24"/>
                <w:szCs w:val="24"/>
              </w:rPr>
              <w:t xml:space="preserve">· Indekset </w:t>
            </w:r>
          </w:p>
          <w:p w:rsidR="00236A38" w:rsidRPr="00236A38" w:rsidRDefault="00236A38" w:rsidP="006E597C">
            <w:pPr>
              <w:spacing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sz w:val="24"/>
                <w:szCs w:val="24"/>
              </w:rPr>
              <w:t>· Ndryshim në përqindje (tremujor dhe vjetor)</w:t>
            </w:r>
            <w:r w:rsidR="00805D46">
              <w:rPr>
                <w:rFonts w:ascii="Times New Roman" w:eastAsia="Times New Roman" w:hAnsi="Times New Roman" w:cs="Times New Roman"/>
                <w:sz w:val="24"/>
                <w:szCs w:val="24"/>
              </w:rPr>
              <w:t>.</w:t>
            </w:r>
            <w:r w:rsidRPr="00236A38">
              <w:rPr>
                <w:rFonts w:ascii="Times New Roman" w:eastAsia="Times New Roman" w:hAnsi="Times New Roman" w:cs="Times New Roman"/>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8" w:name="_Toc474418810"/>
            <w:bookmarkStart w:id="9" w:name="_Toc67558931"/>
            <w:bookmarkEnd w:id="8"/>
            <w:r w:rsidRPr="00236A38">
              <w:rPr>
                <w:rFonts w:ascii="Times New Roman" w:eastAsia="Times New Roman" w:hAnsi="Times New Roman" w:cs="Times New Roman"/>
                <w:b/>
                <w:bCs/>
                <w:color w:val="000000"/>
                <w:kern w:val="36"/>
                <w:sz w:val="24"/>
                <w:szCs w:val="24"/>
              </w:rPr>
              <w:t>5. Periudha e referencës</w:t>
            </w:r>
            <w:bookmarkEnd w:id="9"/>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8F21CC" w:rsidRDefault="00236A38" w:rsidP="008F21CC">
            <w:pPr>
              <w:spacing w:before="200" w:line="240" w:lineRule="auto"/>
              <w:ind w:left="101" w:right="86"/>
              <w:jc w:val="both"/>
              <w:rPr>
                <w:rFonts w:ascii="Times New Roman" w:eastAsia="Times New Roman" w:hAnsi="Times New Roman" w:cs="Times New Roman"/>
                <w:color w:val="000000"/>
                <w:sz w:val="24"/>
                <w:szCs w:val="24"/>
              </w:rPr>
            </w:pPr>
            <w:r w:rsidRPr="008F21CC">
              <w:rPr>
                <w:rFonts w:ascii="Times New Roman" w:eastAsia="Times New Roman" w:hAnsi="Times New Roman" w:cs="Times New Roman"/>
                <w:color w:val="000000"/>
                <w:sz w:val="24"/>
                <w:szCs w:val="24"/>
              </w:rPr>
              <w:t xml:space="preserve">Të dhënat e mbledhura nga IKN (për banesa) </w:t>
            </w:r>
            <w:r w:rsidRPr="00960FAF">
              <w:rPr>
                <w:rFonts w:ascii="Times New Roman" w:eastAsia="Times New Roman" w:hAnsi="Times New Roman" w:cs="Times New Roman"/>
                <w:color w:val="000000"/>
                <w:sz w:val="24"/>
                <w:szCs w:val="24"/>
              </w:rPr>
              <w:t>janë tremujore. Ky raport i përket vitit referencë 20</w:t>
            </w:r>
            <w:r w:rsidR="009420DC" w:rsidRPr="00960FAF">
              <w:rPr>
                <w:rFonts w:ascii="Times New Roman" w:eastAsia="Times New Roman" w:hAnsi="Times New Roman" w:cs="Times New Roman"/>
                <w:color w:val="000000"/>
                <w:sz w:val="24"/>
                <w:szCs w:val="24"/>
              </w:rPr>
              <w:t>20</w:t>
            </w:r>
            <w:r w:rsidRPr="00960FAF">
              <w:rPr>
                <w:rFonts w:ascii="Times New Roman" w:eastAsia="Times New Roman" w:hAnsi="Times New Roman" w:cs="Times New Roman"/>
                <w:color w:val="000000"/>
                <w:sz w:val="24"/>
                <w:szCs w:val="24"/>
              </w:rPr>
              <w:t>.</w:t>
            </w:r>
            <w:r w:rsidRPr="008F21CC">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10" w:name="_Toc474418811"/>
            <w:bookmarkStart w:id="11" w:name="_Toc67558932"/>
            <w:bookmarkEnd w:id="10"/>
            <w:r w:rsidRPr="00236A38">
              <w:rPr>
                <w:rFonts w:ascii="Times New Roman" w:eastAsia="Times New Roman" w:hAnsi="Times New Roman" w:cs="Times New Roman"/>
                <w:b/>
                <w:bCs/>
                <w:color w:val="000000"/>
                <w:kern w:val="36"/>
                <w:sz w:val="24"/>
                <w:szCs w:val="24"/>
              </w:rPr>
              <w:t>6. Mandati institucional</w:t>
            </w:r>
            <w:bookmarkEnd w:id="11"/>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6.1. Akte ligjore dhe marrëveshje të tjera</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597C" w:rsidRPr="00321B2E" w:rsidRDefault="00236A38" w:rsidP="006E597C">
            <w:pPr>
              <w:spacing w:before="240" w:after="0" w:line="240" w:lineRule="auto"/>
              <w:ind w:left="101" w:right="86"/>
              <w:jc w:val="both"/>
              <w:rPr>
                <w:rFonts w:ascii="Times New Roman" w:eastAsia="Times New Roman" w:hAnsi="Times New Roman" w:cs="Times New Roman"/>
                <w:color w:val="000000"/>
                <w:sz w:val="24"/>
                <w:szCs w:val="24"/>
              </w:rPr>
            </w:pPr>
            <w:r w:rsidRPr="00321B2E">
              <w:rPr>
                <w:rFonts w:ascii="Times New Roman" w:eastAsia="Times New Roman" w:hAnsi="Times New Roman" w:cs="Times New Roman"/>
                <w:color w:val="000000"/>
                <w:sz w:val="24"/>
                <w:szCs w:val="24"/>
              </w:rPr>
              <w:t>IKN është pjesë përbërëse e rregullores mbi “Statistikat afatshkurtra”, si e tillë baza ligjore është e njëjtë.</w:t>
            </w:r>
          </w:p>
          <w:p w:rsidR="000F409A" w:rsidRPr="00321B2E" w:rsidRDefault="00265D56" w:rsidP="002B53D9">
            <w:pPr>
              <w:pStyle w:val="ListParagraph"/>
              <w:numPr>
                <w:ilvl w:val="0"/>
                <w:numId w:val="2"/>
              </w:numPr>
              <w:spacing w:after="0" w:line="240" w:lineRule="auto"/>
              <w:ind w:right="86"/>
              <w:jc w:val="both"/>
              <w:rPr>
                <w:rFonts w:ascii="Times New Roman" w:hAnsi="Times New Roman" w:cs="Times New Roman"/>
                <w:sz w:val="24"/>
                <w:szCs w:val="24"/>
                <w:u w:val="single" w:color="0000FF"/>
              </w:rPr>
            </w:pPr>
            <w:hyperlink r:id="rId10">
              <w:r w:rsidR="000F409A" w:rsidRPr="00321B2E">
                <w:rPr>
                  <w:rStyle w:val="InternetLink"/>
                  <w:rFonts w:ascii="Times New Roman" w:hAnsi="Times New Roman" w:cs="Times New Roman"/>
                  <w:sz w:val="24"/>
                  <w:szCs w:val="24"/>
                  <w:u w:color="0000FF"/>
                </w:rPr>
                <w:t>Ligji Nr.17/2018 “Për Statistikat Zyrtare”</w:t>
              </w:r>
            </w:hyperlink>
          </w:p>
          <w:p w:rsidR="000F409A" w:rsidRPr="00321B2E" w:rsidRDefault="00265D56" w:rsidP="000F409A">
            <w:pPr>
              <w:pStyle w:val="ListParagraph"/>
              <w:numPr>
                <w:ilvl w:val="0"/>
                <w:numId w:val="2"/>
              </w:numPr>
              <w:spacing w:after="0" w:line="240" w:lineRule="auto"/>
              <w:ind w:right="86"/>
              <w:jc w:val="both"/>
              <w:rPr>
                <w:rStyle w:val="InternetLink"/>
                <w:rFonts w:ascii="Times New Roman" w:hAnsi="Times New Roman" w:cs="Times New Roman"/>
                <w:color w:val="auto"/>
                <w:sz w:val="24"/>
                <w:szCs w:val="24"/>
                <w:u w:color="0000FF"/>
              </w:rPr>
            </w:pPr>
            <w:hyperlink r:id="rId11">
              <w:r w:rsidR="000F409A" w:rsidRPr="00321B2E">
                <w:rPr>
                  <w:rStyle w:val="InternetLink"/>
                  <w:rFonts w:ascii="Times New Roman" w:hAnsi="Times New Roman" w:cs="Times New Roman"/>
                  <w:sz w:val="24"/>
                  <w:szCs w:val="24"/>
                  <w:u w:color="0000FF"/>
                </w:rPr>
                <w:t>Programi Kombëtar i Statistikave Zyrtare, 2017-2021</w:t>
              </w:r>
            </w:hyperlink>
          </w:p>
          <w:p w:rsidR="006E597C" w:rsidRPr="00321B2E" w:rsidRDefault="00265D56" w:rsidP="000F409A">
            <w:pPr>
              <w:pStyle w:val="ListParagraph"/>
              <w:numPr>
                <w:ilvl w:val="0"/>
                <w:numId w:val="2"/>
              </w:numPr>
              <w:spacing w:after="0" w:line="240" w:lineRule="auto"/>
              <w:ind w:right="86"/>
              <w:jc w:val="both"/>
              <w:rPr>
                <w:rFonts w:ascii="Times New Roman" w:hAnsi="Times New Roman" w:cs="Times New Roman"/>
                <w:sz w:val="24"/>
                <w:szCs w:val="24"/>
                <w:u w:val="single"/>
              </w:rPr>
            </w:pPr>
            <w:hyperlink r:id="rId12">
              <w:r w:rsidR="000F409A" w:rsidRPr="00321B2E">
                <w:rPr>
                  <w:rFonts w:ascii="Times New Roman" w:eastAsia="Calibri" w:hAnsi="Times New Roman" w:cs="Times New Roman"/>
                  <w:color w:val="0000FF"/>
                  <w:sz w:val="24"/>
                  <w:szCs w:val="24"/>
                  <w:u w:val="single" w:color="0000FF"/>
                </w:rPr>
                <w:t>Rregullorja e Këshillit Evropian Nr. 1165/98</w:t>
              </w:r>
            </w:hyperlink>
            <w:r w:rsidR="000F409A" w:rsidRPr="00321B2E">
              <w:rPr>
                <w:rFonts w:ascii="Times New Roman" w:eastAsia="Calibri" w:hAnsi="Times New Roman" w:cs="Times New Roman"/>
                <w:sz w:val="24"/>
                <w:szCs w:val="24"/>
              </w:rPr>
              <w:t xml:space="preserve"> </w:t>
            </w:r>
            <w:r w:rsidR="00236A38" w:rsidRPr="00321B2E">
              <w:rPr>
                <w:rFonts w:ascii="Times New Roman" w:eastAsia="Times New Roman" w:hAnsi="Times New Roman" w:cs="Times New Roman"/>
                <w:color w:val="000000"/>
                <w:sz w:val="24"/>
                <w:szCs w:val="24"/>
              </w:rPr>
              <w:t xml:space="preserve">për Statistikat Afatshkurtra </w:t>
            </w:r>
          </w:p>
          <w:p w:rsidR="00236A38" w:rsidRPr="002B53D9" w:rsidRDefault="00265D56" w:rsidP="00C11FF7">
            <w:pPr>
              <w:pStyle w:val="ListParagraph"/>
              <w:numPr>
                <w:ilvl w:val="0"/>
                <w:numId w:val="2"/>
              </w:numPr>
              <w:rPr>
                <w:rFonts w:ascii="Times New Roman" w:eastAsia="Times New Roman" w:hAnsi="Times New Roman" w:cs="Times New Roman"/>
                <w:color w:val="000000"/>
                <w:sz w:val="24"/>
                <w:szCs w:val="24"/>
              </w:rPr>
            </w:pPr>
            <w:hyperlink r:id="rId13">
              <w:r w:rsidR="000F409A" w:rsidRPr="00321B2E">
                <w:rPr>
                  <w:rStyle w:val="Hyperlink"/>
                  <w:rFonts w:ascii="Times New Roman" w:eastAsia="Times New Roman" w:hAnsi="Times New Roman" w:cs="Times New Roman"/>
                  <w:sz w:val="24"/>
                  <w:szCs w:val="24"/>
                  <w:u w:color="0000FF"/>
                </w:rPr>
                <w:t>Rregul</w:t>
              </w:r>
              <w:r w:rsidR="00C11FF7" w:rsidRPr="00321B2E">
                <w:rPr>
                  <w:rStyle w:val="Hyperlink"/>
                  <w:rFonts w:ascii="Times New Roman" w:eastAsia="Times New Roman" w:hAnsi="Times New Roman" w:cs="Times New Roman"/>
                  <w:sz w:val="24"/>
                  <w:szCs w:val="24"/>
                  <w:u w:color="0000FF"/>
                </w:rPr>
                <w:t>lorja e Komisionit Evropian Nr.</w:t>
              </w:r>
              <w:r w:rsidR="000F409A" w:rsidRPr="00321B2E">
                <w:rPr>
                  <w:rStyle w:val="Hyperlink"/>
                  <w:rFonts w:ascii="Times New Roman" w:eastAsia="Times New Roman" w:hAnsi="Times New Roman" w:cs="Times New Roman"/>
                  <w:sz w:val="24"/>
                  <w:szCs w:val="24"/>
                  <w:u w:color="0000FF"/>
                </w:rPr>
                <w:t>1503/2006</w:t>
              </w:r>
            </w:hyperlink>
            <w:r w:rsidR="00C11FF7" w:rsidRPr="00321B2E">
              <w:rPr>
                <w:rStyle w:val="Hyperlink"/>
                <w:rFonts w:ascii="Times New Roman" w:eastAsia="Times New Roman" w:hAnsi="Times New Roman" w:cs="Times New Roman"/>
                <w:sz w:val="24"/>
                <w:szCs w:val="24"/>
                <w:u w:val="none"/>
              </w:rPr>
              <w:t xml:space="preserve"> </w:t>
            </w:r>
            <w:r w:rsidR="000B57B7" w:rsidRPr="00321B2E">
              <w:rPr>
                <w:rFonts w:ascii="Times New Roman" w:eastAsia="Times New Roman" w:hAnsi="Times New Roman" w:cs="Times New Roman"/>
                <w:color w:val="000000"/>
                <w:sz w:val="24"/>
                <w:szCs w:val="24"/>
              </w:rPr>
              <w:t xml:space="preserve">për </w:t>
            </w:r>
            <w:r w:rsidR="00236A38" w:rsidRPr="00321B2E">
              <w:rPr>
                <w:rFonts w:ascii="Times New Roman" w:eastAsia="Times New Roman" w:hAnsi="Times New Roman" w:cs="Times New Roman"/>
                <w:color w:val="000000"/>
                <w:sz w:val="24"/>
                <w:szCs w:val="24"/>
              </w:rPr>
              <w:t>Statistikat Afatshkurtra.</w:t>
            </w:r>
            <w:r w:rsidR="00236A38" w:rsidRPr="002B53D9">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6.2. Shkëmbimi i të dhënave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B53D9"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B53D9">
              <w:rPr>
                <w:rFonts w:ascii="Times New Roman" w:eastAsia="Times New Roman" w:hAnsi="Times New Roman" w:cs="Times New Roman"/>
                <w:color w:val="000000"/>
                <w:sz w:val="24"/>
                <w:szCs w:val="24"/>
              </w:rPr>
              <w:t xml:space="preserve">IKN dërgohet në EUROSTAT. Aktualisht INSTAT plotëson një sërë pyetësorësh të organizmave ndërkombëtare në lidhje me Indeksin e Kushtimit në Ndërtim për banesa, si Komisioni Europian, Enterprise and Industry Directorate-General, OECD, etj. </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12" w:name="_Toc474418812"/>
            <w:bookmarkStart w:id="13" w:name="_Toc67558933"/>
            <w:bookmarkEnd w:id="12"/>
            <w:r w:rsidRPr="00236A38">
              <w:rPr>
                <w:rFonts w:ascii="Times New Roman" w:eastAsia="Times New Roman" w:hAnsi="Times New Roman" w:cs="Times New Roman"/>
                <w:b/>
                <w:bCs/>
                <w:color w:val="000000"/>
                <w:kern w:val="36"/>
                <w:sz w:val="24"/>
                <w:szCs w:val="24"/>
              </w:rPr>
              <w:t>7. Konfidencialiteti</w:t>
            </w:r>
            <w:bookmarkEnd w:id="13"/>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7.1. Konfidencialiteti - politika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sz w:val="24"/>
                <w:szCs w:val="24"/>
              </w:rPr>
              <w:t>Të dhënat e mbledhura nga ndërmarrjet konsiderohen si rreptësisht konfidenciale dhe përdoren vetëm për qëllime statistikore e kërkime shkencore në përputhje me Ligjin Nr. 17/2018, "Për Statistikat Zyrtare", i ndryshuar, si dhe Ligjin Nr. 9887, datë 10.0</w:t>
            </w:r>
            <w:r w:rsidR="005258CD">
              <w:rPr>
                <w:rFonts w:ascii="Times New Roman" w:eastAsia="Times New Roman" w:hAnsi="Times New Roman" w:cs="Times New Roman"/>
                <w:sz w:val="24"/>
                <w:szCs w:val="24"/>
              </w:rPr>
              <w:t xml:space="preserve">3.2008 "Mbrojtja e të Dhënave </w:t>
            </w:r>
            <w:r w:rsidR="006C3816">
              <w:rPr>
                <w:rFonts w:ascii="Times New Roman" w:eastAsia="Times New Roman" w:hAnsi="Times New Roman" w:cs="Times New Roman"/>
                <w:sz w:val="24"/>
                <w:szCs w:val="24"/>
              </w:rPr>
              <w:t>Personale". Neni 31 i ligjit “P</w:t>
            </w:r>
            <w:r w:rsidRPr="00236A38">
              <w:rPr>
                <w:rFonts w:ascii="Times New Roman" w:eastAsia="Times New Roman" w:hAnsi="Times New Roman" w:cs="Times New Roman"/>
                <w:sz w:val="24"/>
                <w:szCs w:val="24"/>
              </w:rPr>
              <w:t>ër statistikat zyrtare</w:t>
            </w:r>
            <w:r w:rsidR="006C3816">
              <w:rPr>
                <w:rFonts w:ascii="Times New Roman" w:eastAsia="Times New Roman" w:hAnsi="Times New Roman" w:cs="Times New Roman"/>
                <w:sz w:val="24"/>
                <w:szCs w:val="24"/>
              </w:rPr>
              <w:t>”</w:t>
            </w:r>
            <w:r w:rsidRPr="00236A38">
              <w:rPr>
                <w:rFonts w:ascii="Times New Roman" w:eastAsia="Times New Roman" w:hAnsi="Times New Roman" w:cs="Times New Roman"/>
                <w:sz w:val="24"/>
                <w:szCs w:val="24"/>
              </w:rPr>
              <w:t xml:space="preserve"> përcakton qartë që i gjithë informacioni statistikor i mbledhur nga INSTAT është konfidencial dhe mund të përdoret ose botohet vetëm në tabela përmbledhëse të tilla që nuk identifikojnë njësinë burim të informacionit. 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w:t>
            </w:r>
            <w:r w:rsidRPr="00236A38">
              <w:rPr>
                <w:rFonts w:ascii="Times New Roman" w:eastAsia="Times New Roman" w:hAnsi="Times New Roman" w:cs="Times New Roman"/>
                <w:sz w:val="24"/>
                <w:szCs w:val="24"/>
              </w:rPr>
              <w:lastRenderedPageBreak/>
              <w:t>kodohen menjëherë, në mënyrë që subjektet të mos jenë më të identifikueshëm.</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lastRenderedPageBreak/>
              <w:t>7.2. Konfidencialiteti - trajtimi i të dhënave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933" w:rsidRDefault="00236A38" w:rsidP="00144933">
            <w:pPr>
              <w:spacing w:before="240" w:after="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sz w:val="24"/>
                <w:szCs w:val="24"/>
              </w:rPr>
              <w:t xml:space="preserve">Instituti i Statistikave të Shqipërisë mbron dhe nuk shpërndan të dhënat e grumbulluara ose tek të cilat ka akses, që mundësojnë identifikimin direkt ose indirekt të njësive statistikore. Instituti i Statistikave merr të gjitha masat parandaluese në mënyrë që të bëjë të pamundur identifikimin e njësive të veçanta statistikore me mjete teknike ose mjete të tjera, që në mënyrë të arsyeshme mund të përdoren nga një palë e tretë. Të dhënat statistikore që mund të bëjnë të mundur identifikimin e njësisë statistikore shpërndahen nga Instituti i Statistikave nëse dhe vetëm nëse: </w:t>
            </w:r>
          </w:p>
          <w:p w:rsidR="00144933" w:rsidRPr="00144933" w:rsidRDefault="00236A38" w:rsidP="00144933">
            <w:pPr>
              <w:pStyle w:val="ListParagraph"/>
              <w:numPr>
                <w:ilvl w:val="0"/>
                <w:numId w:val="9"/>
              </w:numPr>
              <w:spacing w:after="0" w:line="240" w:lineRule="auto"/>
              <w:ind w:right="86"/>
              <w:jc w:val="both"/>
              <w:rPr>
                <w:rFonts w:ascii="Times New Roman" w:eastAsia="Times New Roman" w:hAnsi="Times New Roman" w:cs="Times New Roman"/>
                <w:sz w:val="24"/>
                <w:szCs w:val="24"/>
              </w:rPr>
            </w:pPr>
            <w:r w:rsidRPr="00144933">
              <w:rPr>
                <w:rFonts w:ascii="Times New Roman" w:eastAsia="Times New Roman" w:hAnsi="Times New Roman" w:cs="Times New Roman"/>
                <w:sz w:val="24"/>
                <w:szCs w:val="24"/>
              </w:rPr>
              <w:t xml:space="preserve">këto të dhëna janë trajtuar, ashtu siç është përcaktuar në mënyrë të veçantë në Rregullore, në mënyrë të tillë që shpërndarja e tyre nuk paragjykon konfidencialitetin statistikor </w:t>
            </w:r>
          </w:p>
          <w:p w:rsidR="00144933" w:rsidRPr="00144933" w:rsidRDefault="00236A38" w:rsidP="00144933">
            <w:pPr>
              <w:pStyle w:val="ListParagraph"/>
              <w:spacing w:after="0" w:line="240" w:lineRule="auto"/>
              <w:ind w:left="461" w:right="86"/>
              <w:jc w:val="both"/>
              <w:rPr>
                <w:rFonts w:ascii="Times New Roman" w:eastAsia="Times New Roman" w:hAnsi="Times New Roman" w:cs="Times New Roman"/>
                <w:sz w:val="24"/>
                <w:szCs w:val="24"/>
              </w:rPr>
            </w:pPr>
            <w:r w:rsidRPr="00144933">
              <w:rPr>
                <w:rFonts w:ascii="Times New Roman" w:eastAsia="Times New Roman" w:hAnsi="Times New Roman" w:cs="Times New Roman"/>
                <w:sz w:val="24"/>
                <w:szCs w:val="24"/>
              </w:rPr>
              <w:t xml:space="preserve">ose </w:t>
            </w:r>
          </w:p>
          <w:p w:rsidR="00236A38" w:rsidRPr="00236A38" w:rsidRDefault="00236A38" w:rsidP="00144933">
            <w:pPr>
              <w:spacing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sz w:val="24"/>
                <w:szCs w:val="24"/>
              </w:rPr>
              <w:t>b) njësia statistikore ka dhënë pëlqimin e saj, pa asnjë rezervë, për zbulimin e të dhënave. Të dhënat konfidenciale që i transmetohen Institutit të Statistikave përdoren vetëm për qëllime statistikore dhe personat e vetëm që kanë të drejtë të kenë akses në këto të dhëna janë personeli i angazhuar në këtë detyrë. Çështjet që i referohen respektimit të konfidencialitetit statistikor shqyrtohen nga stafi i Institutit të Statistikave. Është përgjegjësi e këtij stafi të sigurojë sa mëposhtë: Nivelin e detajimit në të cilën të dhënat statistikore mund të shpërndahen, në mënyrë që identifikimi, qoftë drejtpërdrejt ose tërthorazi, i njësisë statistikore të anketuar nuk është i mundur; kriterin e anonimatit për të dhënat në nivel mikro të ofruara për përdoruesit; dhënia akses tek të dhënat konfidenciale për studiuesit për qëllime shkencore.</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14" w:name="_Toc474418813"/>
            <w:bookmarkStart w:id="15" w:name="_Toc67558934"/>
            <w:bookmarkEnd w:id="14"/>
            <w:r w:rsidRPr="00236A38">
              <w:rPr>
                <w:rFonts w:ascii="Times New Roman" w:eastAsia="Times New Roman" w:hAnsi="Times New Roman" w:cs="Times New Roman"/>
                <w:b/>
                <w:bCs/>
                <w:color w:val="000000"/>
                <w:kern w:val="36"/>
                <w:sz w:val="24"/>
                <w:szCs w:val="24"/>
              </w:rPr>
              <w:t>8. Politika e botimit</w:t>
            </w:r>
            <w:bookmarkEnd w:id="15"/>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8.1. Kalendari i publikimeve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0F386D" w:rsidP="00570E3E">
            <w:pPr>
              <w:spacing w:before="240" w:after="240" w:line="240" w:lineRule="auto"/>
              <w:ind w:left="101" w:right="86"/>
              <w:jc w:val="both"/>
              <w:rPr>
                <w:rFonts w:ascii="Times New Roman" w:eastAsia="Times New Roman" w:hAnsi="Times New Roman" w:cs="Times New Roman"/>
                <w:sz w:val="24"/>
                <w:szCs w:val="24"/>
              </w:rPr>
            </w:pPr>
            <w:r w:rsidRPr="00A5752D">
              <w:rPr>
                <w:rFonts w:ascii="Times New Roman" w:eastAsia="Times New Roman" w:hAnsi="Times New Roman" w:cs="Times New Roman"/>
                <w:color w:val="000000"/>
                <w:sz w:val="24"/>
                <w:szCs w:val="24"/>
              </w:rPr>
              <w:t>Njoftimet në lidhje me shpërndarjen e statistikave janë botuar në kalendarin e publikimit, i cili është në dispozicion në faqen e internetit. Njoftime dhe vonesat janë para-njoftuar në këtë kalendar. Në rastin e vonesave specifikohet data e publikimit të ardhshëm si dhe shpjegimi lidhur me arsyet e vonesave.</w:t>
            </w:r>
          </w:p>
        </w:tc>
      </w:tr>
      <w:tr w:rsidR="00236A38" w:rsidRPr="00236A38" w:rsidTr="003D5A7C">
        <w:trPr>
          <w:trHeight w:val="340"/>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8.2. Aksesi në kalendarin e publikimeve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453DEB" w:rsidRDefault="00265D56" w:rsidP="00453DEB">
            <w:pPr>
              <w:spacing w:before="240" w:after="240" w:line="240" w:lineRule="auto"/>
              <w:ind w:left="101" w:right="86"/>
              <w:jc w:val="both"/>
              <w:rPr>
                <w:rFonts w:ascii="Times New Roman" w:eastAsia="Calibri" w:hAnsi="Times New Roman" w:cs="Times New Roman"/>
                <w:sz w:val="24"/>
                <w:szCs w:val="24"/>
              </w:rPr>
            </w:pPr>
            <w:hyperlink r:id="rId14">
              <w:r w:rsidR="002E1CC5" w:rsidRPr="001C6C33">
                <w:rPr>
                  <w:rFonts w:ascii="Times New Roman" w:eastAsia="Calibri" w:hAnsi="Times New Roman" w:cs="Times New Roman"/>
                  <w:color w:val="0000FF"/>
                  <w:sz w:val="24"/>
                  <w:szCs w:val="24"/>
                  <w:u w:val="single" w:color="0825B8"/>
                </w:rPr>
                <w:t>Kalendari</w:t>
              </w:r>
            </w:hyperlink>
            <w:r w:rsidR="002E1CC5" w:rsidRPr="001C6C33">
              <w:rPr>
                <w:rFonts w:ascii="Times New Roman" w:eastAsia="Calibri" w:hAnsi="Times New Roman" w:cs="Times New Roman"/>
                <w:sz w:val="24"/>
                <w:szCs w:val="24"/>
                <w:u w:val="single" w:color="0825B8"/>
              </w:rPr>
              <w:t xml:space="preserve"> </w:t>
            </w:r>
            <w:r w:rsidR="002E1CC5" w:rsidRPr="002E1CC5">
              <w:rPr>
                <w:rFonts w:ascii="Times New Roman" w:eastAsia="Calibri" w:hAnsi="Times New Roman" w:cs="Times New Roman"/>
                <w:sz w:val="24"/>
                <w:szCs w:val="24"/>
              </w:rPr>
              <w:t>i publikimeve është i aksesueshëm në faqen e internetit të INSTAT.</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8.3. Aksesi i përdoruesve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386D" w:rsidRPr="000F386D" w:rsidRDefault="000F386D" w:rsidP="000F386D">
            <w:pPr>
              <w:spacing w:before="240" w:after="0" w:line="240" w:lineRule="auto"/>
              <w:ind w:left="101" w:right="86"/>
              <w:jc w:val="both"/>
            </w:pPr>
            <w:r w:rsidRPr="000F386D">
              <w:rPr>
                <w:rFonts w:ascii="Times New Roman" w:hAnsi="Times New Roman" w:cs="Times New Roman"/>
                <w:sz w:val="24"/>
                <w:szCs w:val="24"/>
              </w:rPr>
              <w:t>Në përputhje me</w:t>
            </w:r>
            <w:r w:rsidR="005258CD">
              <w:rPr>
                <w:rFonts w:ascii="Times New Roman" w:hAnsi="Times New Roman" w:cs="Times New Roman"/>
                <w:sz w:val="24"/>
                <w:szCs w:val="24"/>
              </w:rPr>
              <w:t xml:space="preserve"> nenin 34 të Ligjit Nr 17/2018 </w:t>
            </w:r>
            <w:r w:rsidR="006C3816">
              <w:rPr>
                <w:rFonts w:ascii="Times New Roman" w:hAnsi="Times New Roman" w:cs="Times New Roman"/>
                <w:sz w:val="24"/>
                <w:szCs w:val="24"/>
              </w:rPr>
              <w:t>“Për</w:t>
            </w:r>
            <w:r w:rsidRPr="000F386D">
              <w:rPr>
                <w:rFonts w:ascii="Times New Roman" w:hAnsi="Times New Roman" w:cs="Times New Roman"/>
                <w:sz w:val="24"/>
                <w:szCs w:val="24"/>
              </w:rPr>
              <w:t xml:space="preserve"> Statistikat Zyrtare”, statistikat zyrtare shpërndahen në mënyrë që të gjithë përdoruesit të kenë të drejtë të menjëhershme dhe të barabartë, përdoren të gjitha format e mundshme të medias, INSTAT-i dhe agjencitë statistikore, duke pasur në </w:t>
            </w:r>
            <w:r w:rsidRPr="000F386D">
              <w:rPr>
                <w:rFonts w:ascii="Times New Roman" w:hAnsi="Times New Roman" w:cs="Times New Roman"/>
                <w:sz w:val="24"/>
                <w:szCs w:val="24"/>
              </w:rPr>
              <w:lastRenderedPageBreak/>
              <w:t xml:space="preserve">program përgjegjësitë për shpërndarjen, kërkojnë të përmbushin çdo kërkesë të çdo organizate ose individi, për të dhëna të pabotuara ose analiza të veçanta. </w:t>
            </w:r>
            <w:r w:rsidRPr="000F386D">
              <w:rPr>
                <w:rFonts w:ascii="Times New Roman" w:eastAsia="Times New Roman" w:hAnsi="Times New Roman" w:cs="Times New Roman"/>
                <w:color w:val="000000"/>
                <w:sz w:val="24"/>
                <w:szCs w:val="24"/>
                <w:lang w:eastAsia="en-GB"/>
              </w:rPr>
              <w:t xml:space="preserve">Kanalet nga të cilat përdoruesit mund të marrin rezultatet e publikimit janë si më poshtë: </w:t>
            </w:r>
            <w:r w:rsidRPr="000F386D">
              <w:rPr>
                <w:rFonts w:ascii="Times New Roman" w:hAnsi="Times New Roman" w:cs="Times New Roman"/>
                <w:sz w:val="24"/>
                <w:szCs w:val="24"/>
              </w:rPr>
              <w:t xml:space="preserve">    </w:t>
            </w:r>
          </w:p>
          <w:p w:rsidR="000F386D" w:rsidRPr="000F386D" w:rsidRDefault="000F386D" w:rsidP="000F386D">
            <w:pPr>
              <w:spacing w:after="0" w:line="240" w:lineRule="auto"/>
              <w:ind w:left="101" w:right="86"/>
              <w:jc w:val="both"/>
            </w:pPr>
            <w:r w:rsidRPr="000F386D">
              <w:rPr>
                <w:rFonts w:ascii="Times New Roman" w:eastAsia="Times New Roman" w:hAnsi="Times New Roman" w:cs="Times New Roman"/>
                <w:color w:val="000000"/>
                <w:sz w:val="24"/>
                <w:szCs w:val="24"/>
                <w:lang w:eastAsia="en-GB"/>
              </w:rPr>
              <w:t xml:space="preserve">1. Website – online release; </w:t>
            </w:r>
          </w:p>
          <w:p w:rsidR="000F386D" w:rsidRPr="000F386D" w:rsidRDefault="000F386D" w:rsidP="000F386D">
            <w:pPr>
              <w:spacing w:after="0" w:line="240" w:lineRule="auto"/>
              <w:ind w:left="101" w:right="86"/>
              <w:jc w:val="both"/>
            </w:pPr>
            <w:r w:rsidRPr="000F386D">
              <w:rPr>
                <w:rFonts w:ascii="Times New Roman" w:eastAsia="Times New Roman" w:hAnsi="Times New Roman" w:cs="Times New Roman"/>
                <w:color w:val="000000"/>
                <w:sz w:val="24"/>
                <w:szCs w:val="24"/>
                <w:lang w:eastAsia="en-GB"/>
              </w:rPr>
              <w:t xml:space="preserve">2. Kërkesat e shkruara; </w:t>
            </w:r>
          </w:p>
          <w:p w:rsidR="000F386D" w:rsidRPr="000F386D" w:rsidRDefault="000F386D" w:rsidP="000F386D">
            <w:pPr>
              <w:spacing w:after="0" w:line="240" w:lineRule="auto"/>
              <w:ind w:left="101" w:right="86"/>
              <w:jc w:val="both"/>
            </w:pPr>
            <w:r w:rsidRPr="000F386D">
              <w:rPr>
                <w:rFonts w:ascii="Times New Roman" w:eastAsia="Times New Roman" w:hAnsi="Times New Roman" w:cs="Times New Roman"/>
                <w:color w:val="000000"/>
                <w:sz w:val="24"/>
                <w:szCs w:val="24"/>
                <w:lang w:eastAsia="en-GB"/>
              </w:rPr>
              <w:t xml:space="preserve">3. Publikimi; </w:t>
            </w:r>
          </w:p>
          <w:p w:rsidR="00A5752D" w:rsidRPr="00EF0FB5" w:rsidRDefault="000F386D" w:rsidP="00EF0FB5">
            <w:pPr>
              <w:spacing w:line="240" w:lineRule="auto"/>
              <w:ind w:left="101" w:right="86"/>
              <w:jc w:val="both"/>
              <w:rPr>
                <w:rFonts w:ascii="Times New Roman" w:eastAsia="Times New Roman" w:hAnsi="Times New Roman" w:cs="Times New Roman"/>
                <w:color w:val="000000"/>
                <w:sz w:val="24"/>
                <w:szCs w:val="24"/>
                <w:lang w:eastAsia="en-GB"/>
              </w:rPr>
            </w:pPr>
            <w:r w:rsidRPr="000F386D">
              <w:rPr>
                <w:rFonts w:ascii="Times New Roman" w:eastAsia="Times New Roman" w:hAnsi="Times New Roman" w:cs="Times New Roman"/>
                <w:color w:val="000000"/>
                <w:sz w:val="24"/>
                <w:szCs w:val="24"/>
                <w:lang w:eastAsia="en-GB"/>
              </w:rPr>
              <w:t>4</w:t>
            </w:r>
            <w:r w:rsidRPr="009732ED">
              <w:rPr>
                <w:rFonts w:ascii="Times New Roman" w:eastAsia="Times New Roman" w:hAnsi="Times New Roman" w:cs="Times New Roman"/>
                <w:color w:val="000000"/>
                <w:sz w:val="24"/>
                <w:szCs w:val="24"/>
                <w:lang w:eastAsia="en-GB"/>
              </w:rPr>
              <w:t>.</w:t>
            </w:r>
            <w:r w:rsidRPr="00F528AB">
              <w:rPr>
                <w:rFonts w:ascii="Times New Roman" w:eastAsia="Times New Roman" w:hAnsi="Times New Roman" w:cs="Times New Roman"/>
                <w:color w:val="000000"/>
                <w:sz w:val="24"/>
                <w:szCs w:val="24"/>
                <w:lang w:val="en-GB" w:eastAsia="en-GB"/>
              </w:rPr>
              <w:t xml:space="preserve"> </w:t>
            </w:r>
            <w:hyperlink r:id="rId15">
              <w:r w:rsidRPr="001C6C33">
                <w:rPr>
                  <w:rFonts w:ascii="Times New Roman" w:eastAsia="Times New Roman" w:hAnsi="Times New Roman" w:cs="Times New Roman"/>
                  <w:color w:val="0000FF"/>
                  <w:sz w:val="24"/>
                  <w:szCs w:val="24"/>
                  <w:u w:val="single" w:color="0825B8"/>
                  <w:lang w:eastAsia="en-GB"/>
                </w:rPr>
                <w:t>K</w:t>
              </w:r>
            </w:hyperlink>
            <w:hyperlink r:id="rId16">
              <w:r w:rsidRPr="001C6C33">
                <w:rPr>
                  <w:rFonts w:ascii="Times New Roman" w:eastAsia="Times New Roman" w:hAnsi="Times New Roman" w:cs="Times New Roman"/>
                  <w:color w:val="0000FF"/>
                  <w:sz w:val="24"/>
                  <w:szCs w:val="24"/>
                  <w:u w:val="single" w:color="0825B8"/>
                  <w:lang w:eastAsia="en-GB"/>
                </w:rPr>
                <w:t>ërkesa për të dhëna</w:t>
              </w:r>
            </w:hyperlink>
            <w:r w:rsidRPr="001C6C33">
              <w:rPr>
                <w:rFonts w:ascii="Times New Roman" w:eastAsia="Times New Roman" w:hAnsi="Times New Roman" w:cs="Times New Roman"/>
                <w:color w:val="0000FF"/>
                <w:sz w:val="24"/>
                <w:szCs w:val="24"/>
                <w:u w:val="single" w:color="0825B8"/>
                <w:lang w:eastAsia="en-GB"/>
              </w:rPr>
              <w:t>,</w:t>
            </w:r>
            <w:r w:rsidRPr="00F528AB">
              <w:rPr>
                <w:rFonts w:ascii="Times New Roman" w:eastAsia="Times New Roman" w:hAnsi="Times New Roman" w:cs="Times New Roman"/>
                <w:color w:val="0000FF"/>
                <w:sz w:val="24"/>
                <w:szCs w:val="24"/>
                <w:u w:val="single" w:color="0070C0"/>
                <w:lang w:eastAsia="en-GB"/>
              </w:rPr>
              <w:t xml:space="preserve"> </w:t>
            </w:r>
            <w:r w:rsidRPr="009732ED">
              <w:rPr>
                <w:rFonts w:ascii="Times New Roman" w:eastAsia="Times New Roman" w:hAnsi="Times New Roman" w:cs="Times New Roman"/>
                <w:color w:val="000000"/>
                <w:sz w:val="24"/>
                <w:szCs w:val="24"/>
                <w:lang w:val="en-GB" w:eastAsia="en-GB"/>
              </w:rPr>
              <w:t xml:space="preserve">seksioni </w:t>
            </w:r>
            <w:r w:rsidRPr="009732ED">
              <w:rPr>
                <w:rFonts w:ascii="Times New Roman" w:eastAsia="Times New Roman" w:hAnsi="Times New Roman" w:cs="Times New Roman"/>
                <w:color w:val="000000"/>
                <w:sz w:val="24"/>
                <w:szCs w:val="24"/>
                <w:lang w:eastAsia="en-GB"/>
              </w:rPr>
              <w:t>për përdoruesit e jashtëm.</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16" w:name="_Toc474418814"/>
            <w:bookmarkStart w:id="17" w:name="_Toc67558935"/>
            <w:bookmarkEnd w:id="16"/>
            <w:r w:rsidRPr="00236A38">
              <w:rPr>
                <w:rFonts w:ascii="Times New Roman" w:eastAsia="Times New Roman" w:hAnsi="Times New Roman" w:cs="Times New Roman"/>
                <w:b/>
                <w:bCs/>
                <w:color w:val="000000"/>
                <w:kern w:val="36"/>
                <w:sz w:val="24"/>
                <w:szCs w:val="24"/>
              </w:rPr>
              <w:lastRenderedPageBreak/>
              <w:t>9. Shpeshtësia e shpërndarjes</w:t>
            </w:r>
            <w:bookmarkEnd w:id="17"/>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Shpeshtësia e shpërndarjes të të dhënave të IKN (për banesa) është çdo tremujor. </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18" w:name="_Toc474418815"/>
            <w:bookmarkStart w:id="19" w:name="_Toc67558936"/>
            <w:bookmarkEnd w:id="18"/>
            <w:r w:rsidRPr="00236A38">
              <w:rPr>
                <w:rFonts w:ascii="Times New Roman" w:eastAsia="Times New Roman" w:hAnsi="Times New Roman" w:cs="Times New Roman"/>
                <w:b/>
                <w:bCs/>
                <w:color w:val="000000"/>
                <w:kern w:val="36"/>
                <w:sz w:val="24"/>
                <w:szCs w:val="24"/>
              </w:rPr>
              <w:t>10. Aksesi në të dhëna dhe qartësia</w:t>
            </w:r>
            <w:bookmarkEnd w:id="19"/>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10.1. Njoftim për media</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Sipas Kalendarit të publikimeve, çdo tremujor publikohet njoftim për media mbi Indeksin e Kushtimit në Ndërtim (për Banesa). Formati i njoftimit për shtyp është përcaktuar nga sektori i publikimit. Data e publikimit vendoset në bashkëpunim me sektorin prodhues të treguesit. Njoftimi për shtyp i IKN (për Banesa) publikohet online në faqen e internetit të INSTAT</w:t>
            </w:r>
            <w:r w:rsidR="00045568">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10.2. Publikime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1CC5" w:rsidRDefault="00236A38" w:rsidP="00CE21D0">
            <w:pPr>
              <w:spacing w:before="240"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Të gjitha të dhënat për IKN (për banesa), përdoruesit mund ti gjejnë n</w:t>
            </w:r>
            <w:r w:rsidR="002653A6">
              <w:rPr>
                <w:rFonts w:ascii="Times New Roman" w:eastAsia="Times New Roman" w:hAnsi="Times New Roman" w:cs="Times New Roman"/>
                <w:color w:val="000000"/>
                <w:sz w:val="24"/>
                <w:szCs w:val="24"/>
              </w:rPr>
              <w:t>ë faqen e internetit të INSTAT:</w:t>
            </w:r>
            <w:r w:rsidR="002E1CC5">
              <w:rPr>
                <w:rFonts w:ascii="Times New Roman" w:eastAsia="Times New Roman" w:hAnsi="Times New Roman" w:cs="Times New Roman"/>
                <w:color w:val="000000"/>
                <w:sz w:val="24"/>
                <w:szCs w:val="24"/>
              </w:rPr>
              <w:t xml:space="preserve"> </w:t>
            </w:r>
          </w:p>
          <w:p w:rsidR="002653A6" w:rsidRPr="001C6C33" w:rsidRDefault="00265D56" w:rsidP="00CE21D0">
            <w:pPr>
              <w:pStyle w:val="ListParagraph"/>
              <w:numPr>
                <w:ilvl w:val="0"/>
                <w:numId w:val="5"/>
              </w:numPr>
              <w:spacing w:after="240" w:line="240" w:lineRule="auto"/>
              <w:ind w:right="86"/>
              <w:jc w:val="both"/>
              <w:rPr>
                <w:rFonts w:ascii="Times New Roman" w:eastAsia="Times New Roman" w:hAnsi="Times New Roman" w:cs="Times New Roman"/>
                <w:color w:val="000000"/>
                <w:sz w:val="24"/>
                <w:szCs w:val="24"/>
                <w:u w:val="single" w:color="0825B8"/>
              </w:rPr>
            </w:pPr>
            <w:hyperlink r:id="rId17" w:anchor="tab2" w:history="1">
              <w:r w:rsidR="00CE21D0" w:rsidRPr="001C6C33">
                <w:rPr>
                  <w:rStyle w:val="Hyperlink"/>
                  <w:rFonts w:ascii="Times New Roman" w:hAnsi="Times New Roman" w:cs="Times New Roman"/>
                  <w:sz w:val="24"/>
                  <w:szCs w:val="24"/>
                  <w:u w:color="0825B8"/>
                </w:rPr>
                <w:t>Indeksi i Kushtimit në Ndërtim</w:t>
              </w:r>
            </w:hyperlink>
          </w:p>
          <w:p w:rsidR="00236A38" w:rsidRPr="00CE21D0" w:rsidRDefault="00265D56" w:rsidP="00CE21D0">
            <w:pPr>
              <w:pStyle w:val="ListParagraph"/>
              <w:numPr>
                <w:ilvl w:val="0"/>
                <w:numId w:val="5"/>
              </w:numPr>
              <w:spacing w:before="240" w:after="240" w:line="240" w:lineRule="auto"/>
              <w:ind w:right="86"/>
              <w:jc w:val="both"/>
              <w:rPr>
                <w:rFonts w:ascii="Times New Roman" w:eastAsia="Times New Roman" w:hAnsi="Times New Roman" w:cs="Times New Roman"/>
                <w:sz w:val="24"/>
                <w:szCs w:val="24"/>
              </w:rPr>
            </w:pPr>
            <w:hyperlink r:id="rId18" w:history="1">
              <w:r w:rsidR="00236A38" w:rsidRPr="001C6C33">
                <w:rPr>
                  <w:rStyle w:val="Hyperlink"/>
                  <w:rFonts w:ascii="Times New Roman" w:eastAsia="Times New Roman" w:hAnsi="Times New Roman" w:cs="Times New Roman"/>
                  <w:sz w:val="24"/>
                  <w:szCs w:val="24"/>
                  <w:u w:color="0825B8"/>
                </w:rPr>
                <w:t>Vjetari Statistikor</w:t>
              </w:r>
            </w:hyperlink>
            <w:r w:rsidR="00045568">
              <w:rPr>
                <w:rFonts w:ascii="Times New Roman" w:eastAsia="Times New Roman" w:hAnsi="Times New Roman" w:cs="Times New Roman"/>
                <w:color w:val="000000"/>
                <w:sz w:val="24"/>
                <w:szCs w:val="24"/>
              </w:rPr>
              <w:t>.</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10.3. Baza e të dhënave on-line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CE21D0" w:rsidRDefault="00236A38" w:rsidP="00CE21D0">
            <w:pPr>
              <w:spacing w:before="240" w:after="24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Të gjitha informacionet vihen në dispozicion në dy gjuhë: Shqip dhe Anglisht. Që nga viti 2011, përmes sistemit Pc-Axis, për përdoruesit e jashtëm në faqen e internetit, bazën e të </w:t>
            </w:r>
            <w:r w:rsidR="00CE21D0">
              <w:rPr>
                <w:rFonts w:ascii="Times New Roman" w:eastAsia="Times New Roman" w:hAnsi="Times New Roman" w:cs="Times New Roman"/>
                <w:color w:val="000000"/>
                <w:sz w:val="24"/>
                <w:szCs w:val="24"/>
              </w:rPr>
              <w:t xml:space="preserve">dhënave e aksesoni në linkun më </w:t>
            </w:r>
            <w:r w:rsidRPr="00236A38">
              <w:rPr>
                <w:rFonts w:ascii="Times New Roman" w:eastAsia="Times New Roman" w:hAnsi="Times New Roman" w:cs="Times New Roman"/>
                <w:color w:val="000000"/>
                <w:sz w:val="24"/>
                <w:szCs w:val="24"/>
              </w:rPr>
              <w:t xml:space="preserve">poshtë: </w:t>
            </w:r>
            <w:hyperlink r:id="rId19" w:history="1">
              <w:r w:rsidR="00CE21D0" w:rsidRPr="007A6A0F">
                <w:rPr>
                  <w:rStyle w:val="Hyperlink"/>
                  <w:rFonts w:ascii="Times New Roman" w:eastAsia="Times New Roman" w:hAnsi="Times New Roman" w:cs="Times New Roman"/>
                  <w:sz w:val="24"/>
                  <w:szCs w:val="24"/>
                  <w:u w:color="0000FF"/>
                </w:rPr>
                <w:t>Databaza Statistikore</w:t>
              </w:r>
            </w:hyperlink>
            <w:r w:rsidR="00045568">
              <w:t>.</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10.4. Aksesi në të dhënat mikro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Të dhënat e IKN (për banesa) nuk bëhen të disponueshme në nivel mikro, si pasojë e ruajtjes së konfidencialitetit. Të dhënat e agreguara, janë lloji i vetëm i të dhënave që ofrohet për përdoruesit e jashtëm. Edhe pse të dhënat mikro nuk publikohen, ato mund të aksesohen në bazë të nenit 31, pika 7 ligji nr 17/2018, "Për statistikat zyrtare".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10.5. Të tjera</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F15BDD" w:rsidP="00570E3E">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Përdoruesit mund të dërgojnë kërkesa të tjera specifike nëpërmjet një sesioni të dedikuar për kontaktet në linku më poshtë</w:t>
            </w:r>
            <w:r w:rsidRPr="003C0DD2">
              <w:rPr>
                <w:rFonts w:ascii="Times New Roman" w:eastAsia="Times New Roman" w:hAnsi="Times New Roman" w:cs="Times New Roman"/>
                <w:color w:val="000000"/>
                <w:sz w:val="24"/>
                <w:szCs w:val="24"/>
              </w:rPr>
              <w:t xml:space="preserve">: </w:t>
            </w:r>
            <w:hyperlink r:id="rId20" w:history="1">
              <w:r w:rsidRPr="007A6A0F">
                <w:rPr>
                  <w:rStyle w:val="Hyperlink"/>
                  <w:rFonts w:ascii="Times New Roman" w:eastAsia="Times New Roman" w:hAnsi="Times New Roman" w:cs="Times New Roman"/>
                  <w:sz w:val="24"/>
                  <w:szCs w:val="24"/>
                  <w:u w:color="0000FF"/>
                </w:rPr>
                <w:t>Kërkesë të dhënash</w:t>
              </w:r>
            </w:hyperlink>
            <w:r w:rsidR="005258CD">
              <w:t>.</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lastRenderedPageBreak/>
              <w:t>10.6. Dokumentimi i metodologjisë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077815">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Një shpjegim i shkurtër lidhur me përkufizimet, konceptet kryesore dhe shpjegimet metodologjike për përdoruesit publikohet në njoftimin për shtyp dhe publikimet. Informacione shtesë u jepen përdoruesve të brendshëm kur është e nevojshme. </w:t>
            </w:r>
            <w:r w:rsidR="00077815" w:rsidRPr="008E0AC7">
              <w:rPr>
                <w:rFonts w:ascii="Times New Roman" w:eastAsia="Times New Roman" w:hAnsi="Times New Roman" w:cs="Times New Roman"/>
                <w:color w:val="000000"/>
                <w:sz w:val="24"/>
                <w:szCs w:val="24"/>
              </w:rPr>
              <w:t xml:space="preserve">Në faqen e INSTAT ka një seksion lidhur me </w:t>
            </w:r>
            <w:hyperlink r:id="rId21" w:anchor="tab4" w:history="1">
              <w:r w:rsidR="00077815" w:rsidRPr="007A6A0F">
                <w:rPr>
                  <w:rStyle w:val="Hyperlink"/>
                  <w:rFonts w:ascii="Times New Roman" w:eastAsia="Times New Roman" w:hAnsi="Times New Roman" w:cs="Times New Roman"/>
                  <w:sz w:val="24"/>
                  <w:szCs w:val="24"/>
                  <w:u w:color="0000FF"/>
                </w:rPr>
                <w:t>metodogjinë</w:t>
              </w:r>
            </w:hyperlink>
            <w:r w:rsidR="00077815" w:rsidRPr="007A6A0F">
              <w:rPr>
                <w:rFonts w:ascii="Times New Roman" w:eastAsia="Times New Roman" w:hAnsi="Times New Roman" w:cs="Times New Roman"/>
                <w:color w:val="00B0F0"/>
                <w:sz w:val="24"/>
                <w:szCs w:val="24"/>
              </w:rPr>
              <w:t xml:space="preserve"> </w:t>
            </w:r>
            <w:r w:rsidR="00077815">
              <w:rPr>
                <w:rFonts w:ascii="Times New Roman" w:eastAsia="Times New Roman" w:hAnsi="Times New Roman" w:cs="Times New Roman"/>
                <w:color w:val="000000"/>
                <w:sz w:val="24"/>
                <w:szCs w:val="24"/>
              </w:rPr>
              <w:t xml:space="preserve">mbi </w:t>
            </w:r>
            <w:r w:rsidR="00077815" w:rsidRPr="00236A38">
              <w:rPr>
                <w:rFonts w:ascii="Times New Roman" w:eastAsia="Times New Roman" w:hAnsi="Times New Roman" w:cs="Times New Roman"/>
                <w:color w:val="000000"/>
                <w:sz w:val="24"/>
                <w:szCs w:val="24"/>
              </w:rPr>
              <w:t>Inde</w:t>
            </w:r>
            <w:r w:rsidR="00077815">
              <w:rPr>
                <w:rFonts w:ascii="Times New Roman" w:eastAsia="Times New Roman" w:hAnsi="Times New Roman" w:cs="Times New Roman"/>
                <w:color w:val="000000"/>
                <w:sz w:val="24"/>
                <w:szCs w:val="24"/>
              </w:rPr>
              <w:t>ksi i Kushtimit në Ndërtim për B</w:t>
            </w:r>
            <w:r w:rsidR="00077815" w:rsidRPr="00236A38">
              <w:rPr>
                <w:rFonts w:ascii="Times New Roman" w:eastAsia="Times New Roman" w:hAnsi="Times New Roman" w:cs="Times New Roman"/>
                <w:color w:val="000000"/>
                <w:sz w:val="24"/>
                <w:szCs w:val="24"/>
              </w:rPr>
              <w:t>anesa</w:t>
            </w:r>
            <w:r w:rsidR="00077815">
              <w:rPr>
                <w:rFonts w:ascii="Times New Roman" w:eastAsia="Times New Roman" w:hAnsi="Times New Roman" w:cs="Times New Roman"/>
                <w:color w:val="000000"/>
                <w:sz w:val="24"/>
                <w:szCs w:val="24"/>
              </w:rPr>
              <w:t>t.</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10.7. Dokumentimi i cilësisë</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5A04FF" w:rsidP="008F21CC">
            <w:pPr>
              <w:spacing w:before="200" w:line="240" w:lineRule="auto"/>
              <w:ind w:left="101" w:right="86"/>
              <w:jc w:val="both"/>
              <w:rPr>
                <w:rFonts w:ascii="Times New Roman" w:eastAsia="Times New Roman" w:hAnsi="Times New Roman" w:cs="Times New Roman"/>
                <w:sz w:val="24"/>
                <w:szCs w:val="24"/>
              </w:rPr>
            </w:pPr>
            <w:r w:rsidRPr="00321B2E">
              <w:rPr>
                <w:rFonts w:ascii="Times New Roman" w:eastAsia="Times New Roman" w:hAnsi="Times New Roman" w:cs="Times New Roman"/>
                <w:color w:val="000000"/>
                <w:sz w:val="24"/>
                <w:szCs w:val="24"/>
              </w:rPr>
              <w:t xml:space="preserve">Sektori i Çmimeve </w:t>
            </w:r>
            <w:r w:rsidR="00236A38" w:rsidRPr="00321B2E">
              <w:rPr>
                <w:rFonts w:ascii="Times New Roman" w:eastAsia="Times New Roman" w:hAnsi="Times New Roman" w:cs="Times New Roman"/>
                <w:color w:val="000000"/>
                <w:sz w:val="24"/>
                <w:szCs w:val="24"/>
              </w:rPr>
              <w:t>dokumenton të gjithë procesin e punës dhe procedurat e Indeksit të Kushtimit në Ndërtim për qëllime të brendshme.</w:t>
            </w:r>
            <w:r w:rsidR="00236A38" w:rsidRPr="00236A38">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20" w:name="_Toc474418816"/>
            <w:bookmarkStart w:id="21" w:name="_Toc67558937"/>
            <w:bookmarkEnd w:id="20"/>
            <w:r w:rsidRPr="00236A38">
              <w:rPr>
                <w:rFonts w:ascii="Times New Roman" w:eastAsia="Times New Roman" w:hAnsi="Times New Roman" w:cs="Times New Roman"/>
                <w:b/>
                <w:bCs/>
                <w:color w:val="000000"/>
                <w:kern w:val="36"/>
                <w:sz w:val="24"/>
                <w:szCs w:val="24"/>
              </w:rPr>
              <w:t>11. Manaxhimi i cilësisë</w:t>
            </w:r>
            <w:bookmarkEnd w:id="21"/>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11.1. Sigurimi i cilësisë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sz w:val="24"/>
                <w:szCs w:val="24"/>
              </w:rPr>
              <w:t>INSTAT është i angazhuar për sigurimin e cilësisë në prodhimin e statistikave zyrtare. Duke u bazuar në ligjin “Për statistikat zyrtare”, Nr. 17/2018, INSTAT përdor metoda dhe procese statistikore në përputhje 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(European Statistics Code of Practice). INSTAT për sigurimin e cilësisë udhëhiqet nga parimet e mëposhtme: paanshmëria, cilësia e proceseve dhe produkteve statistikore, orientimi për përdoruesit, orientimi për punonjësit, efektiviteti i proceseve statistikore dhe reduktimi i ngarkesës së të intervistuarve. Kontrollet e cilësisë dhe vlerësimi i të dhënave janë veprime që kryhen përgjatë tërë procesit dhe më pas analizohen nga stafi me qëllim përmirësimin e cilësisë së statistikave. Stafi ka përvojën e duhur për përllogaritjen e indeksit dhe i përfshirë në faza të ndryshme të përpilimit të tij, të tilla si: mbledhja e të dhënave, kontrollet fillestare, hedhja e të dhënave dhe kontrollet përfundimtare.</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11.2. Vlerësimi i cilësisë</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Sektori kontrollon çmimet çdo tre muaj. Nëse vërehet ndonjë çmim që ka lë</w:t>
            </w:r>
            <w:r w:rsidR="005258CD">
              <w:rPr>
                <w:rFonts w:ascii="Times New Roman" w:eastAsia="Times New Roman" w:hAnsi="Times New Roman" w:cs="Times New Roman"/>
                <w:color w:val="000000"/>
                <w:sz w:val="24"/>
                <w:szCs w:val="24"/>
              </w:rPr>
              <w:t>vizje të madhe krahasuar me tre</w:t>
            </w:r>
            <w:r w:rsidRPr="00236A38">
              <w:rPr>
                <w:rFonts w:ascii="Times New Roman" w:eastAsia="Times New Roman" w:hAnsi="Times New Roman" w:cs="Times New Roman"/>
                <w:color w:val="000000"/>
                <w:sz w:val="24"/>
                <w:szCs w:val="24"/>
              </w:rPr>
              <w:t xml:space="preserve">mujorin e mëparshëm komunikohet me anketuesin. Nëse marrim një shpjegim justifikues për këtë ndryshim, çmimi përfshihet në llogaritje. Përndryshe anketuesi duhet të verifikojë përsëri çmimin e mbledhur në terren. </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22" w:name="_Toc474418817"/>
            <w:bookmarkStart w:id="23" w:name="_Toc67558938"/>
            <w:bookmarkEnd w:id="22"/>
            <w:r w:rsidRPr="00236A38">
              <w:rPr>
                <w:rFonts w:ascii="Times New Roman" w:eastAsia="Times New Roman" w:hAnsi="Times New Roman" w:cs="Times New Roman"/>
                <w:b/>
                <w:bCs/>
                <w:color w:val="000000"/>
                <w:kern w:val="36"/>
                <w:sz w:val="24"/>
                <w:szCs w:val="24"/>
              </w:rPr>
              <w:t>12. Rëndësia</w:t>
            </w:r>
            <w:bookmarkEnd w:id="23"/>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12.1. Nevojat e përdoruesit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45A6" w:rsidRDefault="00236A38" w:rsidP="00C345A6">
            <w:pPr>
              <w:spacing w:before="240"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Përdoruesit e IKN (për banesa) ndahen në përdorues të brendshëm dhe të jashtëm. </w:t>
            </w:r>
          </w:p>
          <w:p w:rsidR="00C345A6" w:rsidRDefault="00236A38" w:rsidP="00C345A6">
            <w:pPr>
              <w:spacing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Me përdorues të jashtëm nënkuptojmë: </w:t>
            </w:r>
          </w:p>
          <w:p w:rsidR="00C345A6" w:rsidRDefault="00236A38" w:rsidP="00C345A6">
            <w:pPr>
              <w:pStyle w:val="ListParagraph"/>
              <w:numPr>
                <w:ilvl w:val="0"/>
                <w:numId w:val="7"/>
              </w:numPr>
              <w:spacing w:after="240" w:line="240" w:lineRule="auto"/>
              <w:ind w:right="86"/>
              <w:jc w:val="both"/>
              <w:rPr>
                <w:rFonts w:ascii="Times New Roman" w:eastAsia="Times New Roman" w:hAnsi="Times New Roman" w:cs="Times New Roman"/>
                <w:color w:val="000000"/>
                <w:sz w:val="24"/>
                <w:szCs w:val="24"/>
              </w:rPr>
            </w:pPr>
            <w:r w:rsidRPr="00C345A6">
              <w:rPr>
                <w:rFonts w:ascii="Times New Roman" w:eastAsia="Times New Roman" w:hAnsi="Times New Roman" w:cs="Times New Roman"/>
                <w:color w:val="000000"/>
                <w:sz w:val="24"/>
                <w:szCs w:val="24"/>
              </w:rPr>
              <w:t xml:space="preserve">Ministritë dhe administratat publike që i përdor këto të dhëna për </w:t>
            </w:r>
            <w:r w:rsidRPr="00C345A6">
              <w:rPr>
                <w:rFonts w:ascii="Times New Roman" w:eastAsia="Times New Roman" w:hAnsi="Times New Roman" w:cs="Times New Roman"/>
                <w:color w:val="000000"/>
                <w:sz w:val="24"/>
                <w:szCs w:val="24"/>
              </w:rPr>
              <w:lastRenderedPageBreak/>
              <w:t>qëllime të planifikimit të p</w:t>
            </w:r>
            <w:r w:rsidR="00C345A6">
              <w:rPr>
                <w:rFonts w:ascii="Times New Roman" w:eastAsia="Times New Roman" w:hAnsi="Times New Roman" w:cs="Times New Roman"/>
                <w:color w:val="000000"/>
                <w:sz w:val="24"/>
                <w:szCs w:val="24"/>
              </w:rPr>
              <w:t>olitikave ekonomike dhe sociale;</w:t>
            </w:r>
          </w:p>
          <w:p w:rsidR="00C345A6" w:rsidRDefault="00236A38" w:rsidP="00C345A6">
            <w:pPr>
              <w:pStyle w:val="ListParagraph"/>
              <w:numPr>
                <w:ilvl w:val="0"/>
                <w:numId w:val="7"/>
              </w:numPr>
              <w:spacing w:after="240" w:line="240" w:lineRule="auto"/>
              <w:ind w:right="86"/>
              <w:jc w:val="both"/>
              <w:rPr>
                <w:rFonts w:ascii="Times New Roman" w:eastAsia="Times New Roman" w:hAnsi="Times New Roman" w:cs="Times New Roman"/>
                <w:color w:val="000000"/>
                <w:sz w:val="24"/>
                <w:szCs w:val="24"/>
              </w:rPr>
            </w:pPr>
            <w:r w:rsidRPr="00C345A6">
              <w:rPr>
                <w:rFonts w:ascii="Times New Roman" w:eastAsia="Times New Roman" w:hAnsi="Times New Roman" w:cs="Times New Roman"/>
                <w:color w:val="000000"/>
                <w:sz w:val="24"/>
                <w:szCs w:val="24"/>
              </w:rPr>
              <w:t>Univers</w:t>
            </w:r>
            <w:r w:rsidR="00C345A6">
              <w:rPr>
                <w:rFonts w:ascii="Times New Roman" w:eastAsia="Times New Roman" w:hAnsi="Times New Roman" w:cs="Times New Roman"/>
                <w:color w:val="000000"/>
                <w:sz w:val="24"/>
                <w:szCs w:val="24"/>
              </w:rPr>
              <w:t xml:space="preserve">itete </w:t>
            </w:r>
            <w:r w:rsidRPr="00C345A6">
              <w:rPr>
                <w:rFonts w:ascii="Times New Roman" w:eastAsia="Times New Roman" w:hAnsi="Times New Roman" w:cs="Times New Roman"/>
                <w:color w:val="000000"/>
                <w:sz w:val="24"/>
                <w:szCs w:val="24"/>
              </w:rPr>
              <w:t>(</w:t>
            </w:r>
            <w:r w:rsidR="005258CD">
              <w:rPr>
                <w:rFonts w:ascii="Times New Roman" w:eastAsia="Times New Roman" w:hAnsi="Times New Roman" w:cs="Times New Roman"/>
                <w:color w:val="000000"/>
                <w:sz w:val="24"/>
                <w:szCs w:val="24"/>
              </w:rPr>
              <w:t>professor</w:t>
            </w:r>
            <w:r w:rsidRPr="00C345A6">
              <w:rPr>
                <w:rFonts w:ascii="Times New Roman" w:eastAsia="Times New Roman" w:hAnsi="Times New Roman" w:cs="Times New Roman"/>
                <w:color w:val="000000"/>
                <w:sz w:val="24"/>
                <w:szCs w:val="24"/>
              </w:rPr>
              <w:t>/studentë të dipl</w:t>
            </w:r>
            <w:r w:rsidR="00C345A6">
              <w:rPr>
                <w:rFonts w:ascii="Times New Roman" w:eastAsia="Times New Roman" w:hAnsi="Times New Roman" w:cs="Times New Roman"/>
                <w:color w:val="000000"/>
                <w:sz w:val="24"/>
                <w:szCs w:val="24"/>
              </w:rPr>
              <w:t>omuar), organizata kërkimore;</w:t>
            </w:r>
          </w:p>
          <w:p w:rsidR="00C345A6" w:rsidRDefault="00236A38" w:rsidP="00C345A6">
            <w:pPr>
              <w:pStyle w:val="ListParagraph"/>
              <w:numPr>
                <w:ilvl w:val="0"/>
                <w:numId w:val="7"/>
              </w:numPr>
              <w:spacing w:after="240" w:line="240" w:lineRule="auto"/>
              <w:ind w:right="86"/>
              <w:jc w:val="both"/>
              <w:rPr>
                <w:rFonts w:ascii="Times New Roman" w:eastAsia="Times New Roman" w:hAnsi="Times New Roman" w:cs="Times New Roman"/>
                <w:color w:val="000000"/>
                <w:sz w:val="24"/>
                <w:szCs w:val="24"/>
              </w:rPr>
            </w:pPr>
            <w:r w:rsidRPr="00C345A6">
              <w:rPr>
                <w:rFonts w:ascii="Times New Roman" w:eastAsia="Times New Roman" w:hAnsi="Times New Roman" w:cs="Times New Roman"/>
                <w:color w:val="000000"/>
                <w:sz w:val="24"/>
                <w:szCs w:val="24"/>
              </w:rPr>
              <w:t>Organizatat jo fitimprur</w:t>
            </w:r>
            <w:r w:rsidR="00C345A6">
              <w:rPr>
                <w:rFonts w:ascii="Times New Roman" w:eastAsia="Times New Roman" w:hAnsi="Times New Roman" w:cs="Times New Roman"/>
                <w:color w:val="000000"/>
                <w:sz w:val="24"/>
                <w:szCs w:val="24"/>
              </w:rPr>
              <w:t>ëse kombëtare dhe ndërkombëtare;</w:t>
            </w:r>
          </w:p>
          <w:p w:rsidR="00C345A6" w:rsidRDefault="00C345A6" w:rsidP="00C345A6">
            <w:pPr>
              <w:pStyle w:val="ListParagraph"/>
              <w:numPr>
                <w:ilvl w:val="0"/>
                <w:numId w:val="7"/>
              </w:numPr>
              <w:spacing w:after="240" w:line="240" w:lineRule="auto"/>
              <w:ind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Bizneset;</w:t>
            </w:r>
          </w:p>
          <w:p w:rsidR="00C345A6" w:rsidRPr="00C345A6" w:rsidRDefault="00236A38" w:rsidP="00C345A6">
            <w:pPr>
              <w:pStyle w:val="ListParagraph"/>
              <w:numPr>
                <w:ilvl w:val="0"/>
                <w:numId w:val="7"/>
              </w:numPr>
              <w:spacing w:after="0" w:line="240" w:lineRule="auto"/>
              <w:ind w:right="86"/>
              <w:jc w:val="both"/>
              <w:rPr>
                <w:rFonts w:ascii="Times New Roman" w:eastAsia="Times New Roman" w:hAnsi="Times New Roman" w:cs="Times New Roman"/>
                <w:color w:val="000000"/>
                <w:sz w:val="24"/>
                <w:szCs w:val="24"/>
              </w:rPr>
            </w:pPr>
            <w:r w:rsidRPr="00C345A6">
              <w:rPr>
                <w:rFonts w:ascii="Times New Roman" w:eastAsia="Times New Roman" w:hAnsi="Times New Roman" w:cs="Times New Roman"/>
                <w:color w:val="000000"/>
                <w:sz w:val="24"/>
                <w:szCs w:val="24"/>
              </w:rPr>
              <w:t xml:space="preserve">Kërkues, student edhe të tjerë grupe të ngjashme. </w:t>
            </w:r>
          </w:p>
          <w:p w:rsidR="00C345A6" w:rsidRDefault="00236A38" w:rsidP="00C345A6">
            <w:pPr>
              <w:spacing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Me përdorues të brendshëm nënkuptohen sektorë të tjerë brenda INSTAT të cilët përdorin rezultatet e IKN (për banesa) si input në punën e tyre. Këto janë: </w:t>
            </w:r>
          </w:p>
          <w:p w:rsidR="005258CD" w:rsidRDefault="00236A38" w:rsidP="00C345A6">
            <w:pPr>
              <w:pStyle w:val="ListParagraph"/>
              <w:numPr>
                <w:ilvl w:val="0"/>
                <w:numId w:val="8"/>
              </w:numPr>
              <w:spacing w:after="240" w:line="240" w:lineRule="auto"/>
              <w:ind w:right="86"/>
              <w:jc w:val="both"/>
              <w:rPr>
                <w:rFonts w:ascii="Times New Roman" w:eastAsia="Times New Roman" w:hAnsi="Times New Roman" w:cs="Times New Roman"/>
                <w:color w:val="000000"/>
                <w:sz w:val="24"/>
                <w:szCs w:val="24"/>
              </w:rPr>
            </w:pPr>
            <w:r w:rsidRPr="00C345A6">
              <w:rPr>
                <w:rFonts w:ascii="Times New Roman" w:eastAsia="Times New Roman" w:hAnsi="Times New Roman" w:cs="Times New Roman"/>
                <w:color w:val="000000"/>
                <w:sz w:val="24"/>
                <w:szCs w:val="24"/>
              </w:rPr>
              <w:t>Drejtoria e Llogarive Kombëtare</w:t>
            </w:r>
            <w:r w:rsidR="005258CD">
              <w:rPr>
                <w:rFonts w:ascii="Times New Roman" w:eastAsia="Times New Roman" w:hAnsi="Times New Roman" w:cs="Times New Roman"/>
                <w:color w:val="000000"/>
                <w:sz w:val="24"/>
                <w:szCs w:val="24"/>
              </w:rPr>
              <w:t>;</w:t>
            </w:r>
          </w:p>
          <w:p w:rsidR="00236A38" w:rsidRPr="00C345A6" w:rsidRDefault="005258CD" w:rsidP="00C345A6">
            <w:pPr>
              <w:pStyle w:val="ListParagraph"/>
              <w:numPr>
                <w:ilvl w:val="0"/>
                <w:numId w:val="8"/>
              </w:numPr>
              <w:spacing w:after="240" w:line="240" w:lineRule="auto"/>
              <w:ind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Sektori i Statistikve Afatshkurtra.</w:t>
            </w:r>
            <w:r w:rsidR="00236A38" w:rsidRPr="00C345A6">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lastRenderedPageBreak/>
              <w:t>12.2. Kënaqësia e përdoruesit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3DEB" w:rsidRPr="00D378A6" w:rsidRDefault="005A04FF" w:rsidP="00D378A6">
            <w:pPr>
              <w:spacing w:before="240" w:after="240" w:line="240" w:lineRule="auto"/>
              <w:ind w:left="101" w:right="86"/>
              <w:jc w:val="both"/>
              <w:rPr>
                <w:rFonts w:ascii="Times New Roman" w:hAnsi="Times New Roman" w:cs="Times New Roman"/>
                <w:sz w:val="24"/>
                <w:szCs w:val="24"/>
              </w:rPr>
            </w:pPr>
            <w:r w:rsidRPr="00453DEB">
              <w:rPr>
                <w:rFonts w:ascii="Times New Roman" w:hAnsi="Times New Roman" w:cs="Times New Roman"/>
                <w:sz w:val="24"/>
                <w:szCs w:val="24"/>
              </w:rPr>
              <w:t>Klikime</w:t>
            </w:r>
            <w:r>
              <w:rPr>
                <w:rFonts w:ascii="Times New Roman" w:hAnsi="Times New Roman" w:cs="Times New Roman"/>
                <w:sz w:val="24"/>
                <w:szCs w:val="24"/>
              </w:rPr>
              <w:t>t</w:t>
            </w:r>
            <w:r w:rsidRPr="00453DEB">
              <w:rPr>
                <w:rFonts w:ascii="Times New Roman" w:hAnsi="Times New Roman" w:cs="Times New Roman"/>
                <w:sz w:val="24"/>
                <w:szCs w:val="24"/>
              </w:rPr>
              <w:t xml:space="preserve"> (</w:t>
            </w:r>
            <w:r w:rsidR="00453DEB" w:rsidRPr="00453DEB">
              <w:rPr>
                <w:rFonts w:ascii="Times New Roman" w:hAnsi="Times New Roman" w:cs="Times New Roman"/>
                <w:sz w:val="24"/>
                <w:szCs w:val="24"/>
              </w:rPr>
              <w:t>Page Views) në lidhje me Indeksin e Kushtimit në Ndërtim për vitin 20</w:t>
            </w:r>
            <w:r w:rsidR="00794DCD">
              <w:rPr>
                <w:rFonts w:ascii="Times New Roman" w:hAnsi="Times New Roman" w:cs="Times New Roman"/>
                <w:sz w:val="24"/>
                <w:szCs w:val="24"/>
              </w:rPr>
              <w:t>20</w:t>
            </w:r>
            <w:r w:rsidR="00D378A6">
              <w:rPr>
                <w:rFonts w:ascii="Times New Roman" w:hAnsi="Times New Roman" w:cs="Times New Roman"/>
                <w:sz w:val="24"/>
                <w:szCs w:val="24"/>
              </w:rPr>
              <w:t xml:space="preserve"> janë rreth </w:t>
            </w:r>
            <w:r w:rsidR="00794DCD" w:rsidRPr="0061398F">
              <w:rPr>
                <w:rFonts w:ascii="Times New Roman" w:eastAsia="Calibri" w:hAnsi="Times New Roman" w:cs="Times New Roman"/>
                <w:color w:val="000000"/>
                <w:sz w:val="24"/>
                <w:szCs w:val="24"/>
              </w:rPr>
              <w:t>19</w:t>
            </w:r>
            <w:r w:rsidR="00794DCD">
              <w:rPr>
                <w:rFonts w:ascii="Times New Roman" w:eastAsia="Calibri" w:hAnsi="Times New Roman" w:cs="Times New Roman"/>
                <w:color w:val="000000"/>
                <w:sz w:val="24"/>
                <w:szCs w:val="24"/>
              </w:rPr>
              <w:t>,</w:t>
            </w:r>
            <w:r w:rsidR="00794DCD" w:rsidRPr="0061398F">
              <w:rPr>
                <w:rFonts w:ascii="Times New Roman" w:eastAsia="Calibri" w:hAnsi="Times New Roman" w:cs="Times New Roman"/>
                <w:color w:val="000000"/>
                <w:sz w:val="24"/>
                <w:szCs w:val="24"/>
              </w:rPr>
              <w:t xml:space="preserve">650 </w:t>
            </w:r>
            <w:r w:rsidR="00453DEB" w:rsidRPr="00D378A6">
              <w:rPr>
                <w:rFonts w:ascii="Times New Roman" w:hAnsi="Times New Roman" w:cs="Times New Roman"/>
                <w:sz w:val="24"/>
                <w:szCs w:val="24"/>
              </w:rPr>
              <w:t>klikime</w:t>
            </w:r>
            <w:r w:rsidR="00D378A6">
              <w:rPr>
                <w:rFonts w:ascii="Times New Roman" w:hAnsi="Times New Roman" w:cs="Times New Roman"/>
                <w:sz w:val="24"/>
                <w:szCs w:val="24"/>
              </w:rPr>
              <w:t>.</w:t>
            </w:r>
          </w:p>
          <w:p w:rsidR="005A04FF" w:rsidRDefault="005A04FF" w:rsidP="005A04FF">
            <w:pPr>
              <w:spacing w:before="240" w:after="240" w:line="240" w:lineRule="auto"/>
              <w:ind w:left="101" w:right="86"/>
              <w:jc w:val="both"/>
              <w:rPr>
                <w:rFonts w:ascii="Times New Roman" w:hAnsi="Times New Roman" w:cs="Times New Roman"/>
                <w:sz w:val="24"/>
                <w:szCs w:val="24"/>
                <w:lang w:val="sq-AL"/>
              </w:rPr>
            </w:pPr>
            <w:r>
              <w:rPr>
                <w:rFonts w:ascii="Times New Roman" w:eastAsia="Times New Roman" w:hAnsi="Times New Roman" w:cs="Times New Roman"/>
                <w:noProof/>
                <w:color w:val="000000"/>
                <w:sz w:val="24"/>
                <w:szCs w:val="24"/>
                <w:lang w:val="sq-AL" w:eastAsia="sq-AL"/>
              </w:rPr>
              <w:t>Gjat</w:t>
            </w:r>
            <w:r w:rsidRPr="00453DEB">
              <w:rPr>
                <w:rFonts w:ascii="Times New Roman" w:hAnsi="Times New Roman" w:cs="Times New Roman"/>
                <w:sz w:val="24"/>
                <w:szCs w:val="24"/>
              </w:rPr>
              <w:t>ë</w:t>
            </w:r>
            <w:r>
              <w:rPr>
                <w:rFonts w:ascii="Times New Roman" w:eastAsia="Times New Roman" w:hAnsi="Times New Roman" w:cs="Times New Roman"/>
                <w:noProof/>
                <w:color w:val="000000"/>
                <w:sz w:val="24"/>
                <w:szCs w:val="24"/>
                <w:lang w:val="sq-AL" w:eastAsia="sq-AL"/>
              </w:rPr>
              <w:t xml:space="preserve"> 20</w:t>
            </w:r>
            <w:r w:rsidR="00794DCD">
              <w:rPr>
                <w:rFonts w:ascii="Times New Roman" w:eastAsia="Times New Roman" w:hAnsi="Times New Roman" w:cs="Times New Roman"/>
                <w:noProof/>
                <w:color w:val="000000"/>
                <w:sz w:val="24"/>
                <w:szCs w:val="24"/>
                <w:lang w:val="sq-AL" w:eastAsia="sq-AL"/>
              </w:rPr>
              <w:t>20</w:t>
            </w:r>
            <w:r>
              <w:rPr>
                <w:rFonts w:ascii="Times New Roman" w:eastAsia="Times New Roman" w:hAnsi="Times New Roman" w:cs="Times New Roman"/>
                <w:noProof/>
                <w:color w:val="000000"/>
                <w:sz w:val="24"/>
                <w:szCs w:val="24"/>
                <w:lang w:val="sq-AL" w:eastAsia="sq-AL"/>
              </w:rPr>
              <w:t xml:space="preserve"> </w:t>
            </w:r>
            <w:r w:rsidRPr="00D06C93">
              <w:rPr>
                <w:rFonts w:ascii="Times New Roman" w:eastAsia="Times New Roman" w:hAnsi="Times New Roman" w:cs="Times New Roman"/>
                <w:noProof/>
                <w:color w:val="000000"/>
                <w:sz w:val="24"/>
                <w:szCs w:val="24"/>
                <w:lang w:val="sq-AL" w:eastAsia="sq-AL"/>
              </w:rPr>
              <w:t>INSTAT ka kryer vrojtimin për matjen e kënaqësisë së përdoruesve nga publikimet e INSTAT. Rezultatet e vrojtimit tregojnë se cil</w:t>
            </w:r>
            <w:r w:rsidRPr="00453DEB">
              <w:rPr>
                <w:rFonts w:ascii="Times New Roman" w:hAnsi="Times New Roman" w:cs="Times New Roman"/>
                <w:sz w:val="24"/>
                <w:szCs w:val="24"/>
              </w:rPr>
              <w:t>ë</w:t>
            </w:r>
            <w:r w:rsidRPr="00D06C93">
              <w:rPr>
                <w:rFonts w:ascii="Times New Roman" w:eastAsia="Times New Roman" w:hAnsi="Times New Roman" w:cs="Times New Roman"/>
                <w:noProof/>
                <w:color w:val="000000"/>
                <w:sz w:val="24"/>
                <w:szCs w:val="24"/>
                <w:lang w:val="sq-AL" w:eastAsia="sq-AL"/>
              </w:rPr>
              <w:t xml:space="preserve">sia e përgjithshme </w:t>
            </w:r>
            <w:r w:rsidRPr="0048533A">
              <w:rPr>
                <w:rFonts w:ascii="Times New Roman" w:hAnsi="Times New Roman" w:cs="Times New Roman"/>
                <w:sz w:val="24"/>
                <w:szCs w:val="24"/>
              </w:rPr>
              <w:t xml:space="preserve">të statistikave të </w:t>
            </w:r>
            <w:r>
              <w:rPr>
                <w:rFonts w:ascii="Times New Roman" w:hAnsi="Times New Roman" w:cs="Times New Roman"/>
                <w:sz w:val="24"/>
                <w:szCs w:val="24"/>
              </w:rPr>
              <w:t xml:space="preserve">Indeksit </w:t>
            </w:r>
            <w:r w:rsidRPr="0048533A">
              <w:rPr>
                <w:rFonts w:ascii="Times New Roman" w:hAnsi="Times New Roman" w:cs="Times New Roman"/>
                <w:sz w:val="24"/>
                <w:szCs w:val="24"/>
              </w:rPr>
              <w:t>të Kushtimit në Ndërtim</w:t>
            </w:r>
            <w:r>
              <w:rPr>
                <w:rFonts w:ascii="Times New Roman" w:hAnsi="Times New Roman" w:cs="Times New Roman"/>
                <w:sz w:val="24"/>
                <w:szCs w:val="24"/>
              </w:rPr>
              <w:t xml:space="preserve"> </w:t>
            </w:r>
            <w:r w:rsidRPr="00D06C93">
              <w:rPr>
                <w:rFonts w:ascii="Times New Roman" w:eastAsia="Times New Roman" w:hAnsi="Times New Roman" w:cs="Times New Roman"/>
                <w:noProof/>
                <w:color w:val="000000"/>
                <w:sz w:val="24"/>
                <w:szCs w:val="24"/>
                <w:lang w:val="sq-AL" w:eastAsia="sq-AL"/>
              </w:rPr>
              <w:t xml:space="preserve">është vlerësuar me </w:t>
            </w:r>
            <w:r w:rsidRPr="0093731F">
              <w:rPr>
                <w:rFonts w:ascii="Times New Roman" w:hAnsi="Times New Roman" w:cs="Times New Roman"/>
                <w:sz w:val="24"/>
                <w:szCs w:val="24"/>
                <w:lang w:val="sq-AL"/>
              </w:rPr>
              <w:t>3.</w:t>
            </w:r>
            <w:r w:rsidR="00794DCD">
              <w:rPr>
                <w:rFonts w:ascii="Times New Roman" w:hAnsi="Times New Roman" w:cs="Times New Roman"/>
                <w:sz w:val="24"/>
                <w:szCs w:val="24"/>
                <w:lang w:val="sq-AL"/>
              </w:rPr>
              <w:t>6</w:t>
            </w:r>
            <w:r>
              <w:rPr>
                <w:rFonts w:ascii="Times New Roman" w:hAnsi="Times New Roman" w:cs="Times New Roman"/>
                <w:sz w:val="24"/>
                <w:szCs w:val="24"/>
                <w:lang w:val="sq-AL"/>
              </w:rPr>
              <w:t>8</w:t>
            </w:r>
            <w:r w:rsidRPr="0093731F">
              <w:rPr>
                <w:rFonts w:ascii="Times New Roman" w:hAnsi="Times New Roman" w:cs="Times New Roman"/>
                <w:sz w:val="24"/>
                <w:szCs w:val="24"/>
                <w:lang w:val="sq-AL"/>
              </w:rPr>
              <w:t xml:space="preserve"> </w:t>
            </w:r>
            <w:r>
              <w:rPr>
                <w:rFonts w:ascii="Times New Roman" w:hAnsi="Times New Roman" w:cs="Times New Roman"/>
                <w:sz w:val="24"/>
                <w:szCs w:val="24"/>
                <w:lang w:val="sq-AL"/>
              </w:rPr>
              <w:t>(ose 7</w:t>
            </w:r>
            <w:r w:rsidR="00794DCD">
              <w:rPr>
                <w:rFonts w:ascii="Times New Roman" w:hAnsi="Times New Roman" w:cs="Times New Roman"/>
                <w:sz w:val="24"/>
                <w:szCs w:val="24"/>
                <w:lang w:val="sq-AL"/>
              </w:rPr>
              <w:t>3</w:t>
            </w:r>
            <w:r>
              <w:rPr>
                <w:rFonts w:ascii="Times New Roman" w:hAnsi="Times New Roman" w:cs="Times New Roman"/>
                <w:sz w:val="24"/>
                <w:szCs w:val="24"/>
                <w:lang w:val="sq-AL"/>
              </w:rPr>
              <w:t xml:space="preserve">.6%) </w:t>
            </w:r>
            <w:r w:rsidRPr="0093731F">
              <w:rPr>
                <w:rFonts w:ascii="Times New Roman" w:eastAsia="Times New Roman" w:hAnsi="Times New Roman" w:cs="Times New Roman"/>
                <w:sz w:val="24"/>
                <w:szCs w:val="24"/>
                <w:lang w:val="sq-AL" w:eastAsia="en-GB"/>
              </w:rPr>
              <w:t>nga një shkalle prej 1 (shumë dobët) në 5 (shumë mirë).</w:t>
            </w:r>
            <w:r w:rsidRPr="0093731F">
              <w:rPr>
                <w:rFonts w:ascii="Times New Roman" w:hAnsi="Times New Roman" w:cs="Times New Roman"/>
                <w:sz w:val="24"/>
                <w:szCs w:val="24"/>
                <w:lang w:val="sq-AL"/>
              </w:rPr>
              <w:t xml:space="preserve"> </w:t>
            </w:r>
          </w:p>
          <w:p w:rsidR="00453DEB" w:rsidRPr="00F86037" w:rsidRDefault="005A04FF" w:rsidP="00F86037">
            <w:pPr>
              <w:spacing w:before="240" w:after="240" w:line="240" w:lineRule="auto"/>
              <w:ind w:left="101" w:right="86"/>
              <w:jc w:val="both"/>
              <w:rPr>
                <w:rFonts w:ascii="Times New Roman" w:hAnsi="Times New Roman" w:cs="Times New Roman"/>
                <w:sz w:val="24"/>
                <w:szCs w:val="24"/>
                <w:lang w:val="sq-AL"/>
              </w:rPr>
            </w:pPr>
            <w:r w:rsidRPr="0048533A">
              <w:rPr>
                <w:rFonts w:ascii="Times New Roman" w:eastAsia="Times New Roman" w:hAnsi="Times New Roman" w:cs="Times New Roman"/>
                <w:sz w:val="24"/>
                <w:szCs w:val="24"/>
              </w:rPr>
              <w:t xml:space="preserve">INSTAT organizon çdo vit </w:t>
            </w:r>
            <w:hyperlink r:id="rId22" w:history="1">
              <w:r w:rsidRPr="0048533A">
                <w:rPr>
                  <w:rStyle w:val="Hyperlink"/>
                  <w:rFonts w:ascii="Times New Roman" w:eastAsia="Times New Roman" w:hAnsi="Times New Roman" w:cs="Times New Roman"/>
                  <w:sz w:val="24"/>
                  <w:szCs w:val="24"/>
                  <w:u w:color="0000FF"/>
                </w:rPr>
                <w:t>Anketën e Kënaqësisë së Përdoruesve</w:t>
              </w:r>
            </w:hyperlink>
            <w:r w:rsidRPr="0048533A">
              <w:rPr>
                <w:rFonts w:ascii="Times New Roman" w:eastAsia="Times New Roman" w:hAnsi="Times New Roman" w:cs="Times New Roman"/>
                <w:sz w:val="24"/>
                <w:szCs w:val="24"/>
                <w:u w:val="single" w:color="0000FF"/>
              </w:rPr>
              <w:t>.</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12.3. Plotshmëria</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9060F5">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Statistikat e IKN në mbështetje me rregulloren e Eurostat mbi këtë tregues, përbëhen nga dy tregues statistikorë: IKN - Banesa dhe IKN - Punime </w:t>
            </w:r>
            <w:r w:rsidRPr="000A7C51">
              <w:rPr>
                <w:rFonts w:ascii="Times New Roman" w:eastAsia="Times New Roman" w:hAnsi="Times New Roman" w:cs="Times New Roman"/>
                <w:color w:val="000000"/>
                <w:sz w:val="24"/>
                <w:szCs w:val="24"/>
              </w:rPr>
              <w:t xml:space="preserve">inxhinierike. Niveli i plotshmërisë të treguesve të prodhuar nga INSTAT </w:t>
            </w:r>
            <w:r w:rsidRPr="000A7C51">
              <w:rPr>
                <w:rFonts w:ascii="Times New Roman" w:eastAsia="Times New Roman" w:hAnsi="Times New Roman" w:cs="Times New Roman"/>
                <w:sz w:val="24"/>
                <w:szCs w:val="24"/>
              </w:rPr>
              <w:t>është 50 %.</w:t>
            </w:r>
            <w:r w:rsidRPr="000A7C51">
              <w:rPr>
                <w:rFonts w:ascii="Times New Roman" w:eastAsia="Times New Roman" w:hAnsi="Times New Roman" w:cs="Times New Roman"/>
                <w:color w:val="000000"/>
                <w:sz w:val="24"/>
                <w:szCs w:val="24"/>
              </w:rPr>
              <w:t xml:space="preserve"> Kjo përllogaritje ka marrë në konsideratë </w:t>
            </w:r>
            <w:r w:rsidR="009060F5" w:rsidRPr="000A7C51">
              <w:rPr>
                <w:rFonts w:ascii="Times New Roman" w:eastAsia="Times New Roman" w:hAnsi="Times New Roman" w:cs="Times New Roman"/>
                <w:color w:val="000000"/>
                <w:sz w:val="24"/>
                <w:szCs w:val="24"/>
              </w:rPr>
              <w:t xml:space="preserve">raportin e </w:t>
            </w:r>
            <w:r w:rsidR="00794DCD" w:rsidRPr="000A7C51">
              <w:rPr>
                <w:rFonts w:ascii="Times New Roman" w:eastAsia="Times New Roman" w:hAnsi="Times New Roman" w:cs="Times New Roman"/>
                <w:color w:val="000000"/>
                <w:sz w:val="24"/>
                <w:szCs w:val="24"/>
              </w:rPr>
              <w:t>numri</w:t>
            </w:r>
            <w:r w:rsidR="009060F5" w:rsidRPr="000A7C51">
              <w:rPr>
                <w:rFonts w:ascii="Times New Roman" w:eastAsia="Times New Roman" w:hAnsi="Times New Roman" w:cs="Times New Roman"/>
                <w:color w:val="000000"/>
                <w:sz w:val="24"/>
                <w:szCs w:val="24"/>
              </w:rPr>
              <w:t>t</w:t>
            </w:r>
            <w:r w:rsidR="00794DCD" w:rsidRPr="000A7C51">
              <w:rPr>
                <w:rFonts w:ascii="Times New Roman" w:eastAsia="Times New Roman" w:hAnsi="Times New Roman" w:cs="Times New Roman"/>
                <w:color w:val="000000"/>
                <w:sz w:val="24"/>
                <w:szCs w:val="24"/>
              </w:rPr>
              <w:t xml:space="preserve"> </w:t>
            </w:r>
            <w:r w:rsidR="009060F5" w:rsidRPr="000A7C51">
              <w:rPr>
                <w:rFonts w:ascii="Times New Roman" w:eastAsia="Times New Roman" w:hAnsi="Times New Roman" w:cs="Times New Roman"/>
                <w:color w:val="000000"/>
                <w:sz w:val="24"/>
                <w:szCs w:val="24"/>
              </w:rPr>
              <w:t>të</w:t>
            </w:r>
            <w:r w:rsidR="00794DCD" w:rsidRPr="000A7C51">
              <w:rPr>
                <w:rFonts w:ascii="Times New Roman" w:eastAsia="Times New Roman" w:hAnsi="Times New Roman" w:cs="Times New Roman"/>
                <w:color w:val="000000"/>
                <w:sz w:val="24"/>
                <w:szCs w:val="24"/>
              </w:rPr>
              <w:t xml:space="preserve"> treguesve të llogaritur nga INSTAT kundrejt </w:t>
            </w:r>
            <w:r w:rsidR="003625A6" w:rsidRPr="000A7C51">
              <w:rPr>
                <w:rFonts w:ascii="Times New Roman" w:eastAsia="Times New Roman" w:hAnsi="Times New Roman" w:cs="Times New Roman"/>
                <w:color w:val="000000"/>
                <w:sz w:val="24"/>
                <w:szCs w:val="24"/>
              </w:rPr>
              <w:t>numrit të treguesve</w:t>
            </w:r>
            <w:r w:rsidR="00794DCD" w:rsidRPr="000A7C51">
              <w:rPr>
                <w:rFonts w:ascii="Times New Roman" w:eastAsia="Times New Roman" w:hAnsi="Times New Roman" w:cs="Times New Roman"/>
                <w:color w:val="000000"/>
                <w:sz w:val="24"/>
                <w:szCs w:val="24"/>
              </w:rPr>
              <w:t xml:space="preserve"> që kërkohen nga rregullorja</w:t>
            </w:r>
            <w:r w:rsidRPr="000A7C51">
              <w:rPr>
                <w:rFonts w:ascii="Times New Roman" w:eastAsia="Times New Roman" w:hAnsi="Times New Roman" w:cs="Times New Roman"/>
                <w:color w:val="000000"/>
                <w:sz w:val="24"/>
                <w:szCs w:val="24"/>
              </w:rPr>
              <w:t xml:space="preserve"> evropiane</w:t>
            </w:r>
            <w:r w:rsidR="00045568" w:rsidRPr="000A7C51">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24" w:name="_Toc474418818"/>
            <w:bookmarkStart w:id="25" w:name="_Toc67558939"/>
            <w:bookmarkEnd w:id="24"/>
            <w:r w:rsidRPr="00236A38">
              <w:rPr>
                <w:rFonts w:ascii="Times New Roman" w:eastAsia="Times New Roman" w:hAnsi="Times New Roman" w:cs="Times New Roman"/>
                <w:b/>
                <w:bCs/>
                <w:color w:val="000000"/>
                <w:kern w:val="36"/>
                <w:sz w:val="24"/>
                <w:szCs w:val="24"/>
              </w:rPr>
              <w:t>13. Saktësia dhe besueshmëria</w:t>
            </w:r>
            <w:bookmarkEnd w:id="25"/>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13.1. Saktësia e përgjithshme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Saktësia e përgjithshme e të dhënave të IKN (për banesa) konsiderohet të jetë e lartë veçanërisht në saktësinë metodologjike të burimit të peshave dhe çmimeve dhe llogaritjes në përputhje me Rregulloren Evropiane</w:t>
            </w:r>
            <w:r w:rsidR="005258CD">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 xml:space="preserve"> </w:t>
            </w:r>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13.2. Gabim i kampionimit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Nuk është e aplikueshme për aktivitetin statistikor, pasi të dhënat e IKN (për banesa) janë të bazuara në kampione jo-probabilitare.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13.3. Gabim jo i kampionimit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CBF" w:rsidRDefault="00236A38" w:rsidP="003F163D">
            <w:pPr>
              <w:spacing w:before="240" w:after="24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Gabimet jo të kampionimit janë kryesisht gabime që ndodhin gjatë matjeve ose refuzimeve. Këto gabime vlerësohen dhe krahasohen me rezultatet e periudhave të mëparshme. Për të marrë informacionin korrekt </w:t>
            </w:r>
            <w:r w:rsidRPr="00236A38">
              <w:rPr>
                <w:rFonts w:ascii="Times New Roman" w:eastAsia="Times New Roman" w:hAnsi="Times New Roman" w:cs="Times New Roman"/>
                <w:color w:val="000000"/>
                <w:sz w:val="24"/>
                <w:szCs w:val="24"/>
              </w:rPr>
              <w:lastRenderedPageBreak/>
              <w:t xml:space="preserve">dhe për të rritur normën e përgjigjeve, ndërmarrjet rikontaktohen me telefon ose drejtpërdrejt. </w:t>
            </w:r>
          </w:p>
          <w:p w:rsidR="00440E03" w:rsidRPr="000A7C51" w:rsidRDefault="00236A38" w:rsidP="003F163D">
            <w:pPr>
              <w:spacing w:before="240" w:after="24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Mos-përgjigja në nivel rekordi merr në konsideratë ndërmarrjet që nuk janë në gjendje apo të gatshme për të dhënë </w:t>
            </w:r>
            <w:r w:rsidRPr="00643D06">
              <w:rPr>
                <w:rFonts w:ascii="Times New Roman" w:eastAsia="Times New Roman" w:hAnsi="Times New Roman" w:cs="Times New Roman"/>
                <w:sz w:val="24"/>
                <w:szCs w:val="24"/>
              </w:rPr>
              <w:t xml:space="preserve">përgjigje, ose kur intervistuesit nuk janë në gjendje për të gjetur ndërmarrjet, ose kur </w:t>
            </w:r>
            <w:r w:rsidRPr="000A7C51">
              <w:rPr>
                <w:rFonts w:ascii="Times New Roman" w:eastAsia="Times New Roman" w:hAnsi="Times New Roman" w:cs="Times New Roman"/>
                <w:sz w:val="24"/>
                <w:szCs w:val="24"/>
              </w:rPr>
              <w:t>ekzistojnë pengesa të tjera për të përfunduar intervistën. Shkalla e mos-përgjigjes në nivel rekordi për IKN 20</w:t>
            </w:r>
            <w:r w:rsidR="00AC2108" w:rsidRPr="000A7C51">
              <w:rPr>
                <w:rFonts w:ascii="Times New Roman" w:eastAsia="Times New Roman" w:hAnsi="Times New Roman" w:cs="Times New Roman"/>
                <w:sz w:val="24"/>
                <w:szCs w:val="24"/>
              </w:rPr>
              <w:t>20</w:t>
            </w:r>
            <w:r w:rsidRPr="000A7C51">
              <w:rPr>
                <w:rFonts w:ascii="Times New Roman" w:eastAsia="Times New Roman" w:hAnsi="Times New Roman" w:cs="Times New Roman"/>
                <w:sz w:val="24"/>
                <w:szCs w:val="24"/>
              </w:rPr>
              <w:t xml:space="preserve"> është </w:t>
            </w:r>
            <w:r w:rsidR="003F163D" w:rsidRPr="000A7C51">
              <w:rPr>
                <w:rFonts w:ascii="Times New Roman" w:eastAsia="Times New Roman" w:hAnsi="Times New Roman" w:cs="Times New Roman"/>
                <w:sz w:val="24"/>
                <w:szCs w:val="24"/>
              </w:rPr>
              <w:t>12.0</w:t>
            </w:r>
            <w:r w:rsidRPr="000A7C51">
              <w:rPr>
                <w:rFonts w:ascii="Times New Roman" w:eastAsia="Times New Roman" w:hAnsi="Times New Roman" w:cs="Times New Roman"/>
                <w:sz w:val="24"/>
                <w:szCs w:val="24"/>
              </w:rPr>
              <w:t xml:space="preserve"> %.</w:t>
            </w:r>
            <w:r w:rsidRPr="000A7C51">
              <w:rPr>
                <w:rFonts w:ascii="Times New Roman" w:eastAsia="Times New Roman" w:hAnsi="Times New Roman" w:cs="Times New Roman"/>
                <w:color w:val="000000"/>
                <w:sz w:val="24"/>
                <w:szCs w:val="24"/>
              </w:rPr>
              <w:t xml:space="preserve"> </w:t>
            </w:r>
          </w:p>
          <w:p w:rsidR="00A86CBF" w:rsidRPr="00236A38" w:rsidRDefault="00A86CBF" w:rsidP="00A86CBF">
            <w:pPr>
              <w:spacing w:before="240" w:after="240" w:line="240" w:lineRule="auto"/>
              <w:ind w:left="101" w:right="86"/>
              <w:jc w:val="both"/>
              <w:rPr>
                <w:rFonts w:ascii="Times New Roman" w:eastAsia="Times New Roman" w:hAnsi="Times New Roman" w:cs="Times New Roman"/>
                <w:sz w:val="24"/>
                <w:szCs w:val="24"/>
              </w:rPr>
            </w:pPr>
            <w:r w:rsidRPr="000A7C51">
              <w:rPr>
                <w:rFonts w:ascii="Times New Roman" w:eastAsia="Times New Roman" w:hAnsi="Times New Roman" w:cs="Times New Roman"/>
                <w:color w:val="000000"/>
                <w:sz w:val="24"/>
                <w:szCs w:val="24"/>
              </w:rPr>
              <w:t>Mbi-mbulimi ndodh kur ndërmarrja e zgjedhur është në një aktivitet të caktuar objekt i anketimit dhe gjatë procesit të intervistimit ajo nuk është më objekt i anketimit ose statusi i  ndërmarrjes ka ndryshuar, nuk është më aktive. Shkalla e mbi-mbulimit për IKN 2020 është 2.4%.</w:t>
            </w: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26" w:name="_Toc474418819"/>
            <w:bookmarkStart w:id="27" w:name="_Toc67558940"/>
            <w:bookmarkEnd w:id="26"/>
            <w:r w:rsidRPr="00236A38">
              <w:rPr>
                <w:rFonts w:ascii="Times New Roman" w:eastAsia="Times New Roman" w:hAnsi="Times New Roman" w:cs="Times New Roman"/>
                <w:b/>
                <w:bCs/>
                <w:color w:val="000000"/>
                <w:kern w:val="36"/>
                <w:sz w:val="24"/>
                <w:szCs w:val="24"/>
              </w:rPr>
              <w:lastRenderedPageBreak/>
              <w:t>14. Afatet kohore dhe përpikmëria</w:t>
            </w:r>
            <w:bookmarkEnd w:id="27"/>
          </w:p>
        </w:tc>
      </w:tr>
      <w:tr w:rsidR="00236A38" w:rsidRPr="00236A38" w:rsidTr="003D5A7C">
        <w:trPr>
          <w:trHeight w:val="225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14.1. Afatet kohore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Default="002653A6" w:rsidP="00AC2108">
            <w:pPr>
              <w:spacing w:before="173" w:after="173" w:line="240" w:lineRule="auto"/>
              <w:ind w:left="101" w:right="86"/>
              <w:jc w:val="both"/>
              <w:rPr>
                <w:rFonts w:ascii="Times New Roman" w:eastAsia="Times New Roman" w:hAnsi="Times New Roman" w:cs="Times New Roman"/>
                <w:color w:val="000000"/>
                <w:sz w:val="24"/>
                <w:szCs w:val="24"/>
                <w:lang w:val="sq-AL" w:eastAsia="sq-AL"/>
              </w:rPr>
            </w:pPr>
            <w:r w:rsidRPr="002653A6">
              <w:rPr>
                <w:rFonts w:ascii="Times New Roman" w:eastAsia="Times New Roman" w:hAnsi="Times New Roman" w:cs="Times New Roman"/>
                <w:color w:val="000000"/>
                <w:sz w:val="24"/>
                <w:szCs w:val="24"/>
                <w:lang w:val="sq-AL" w:eastAsia="sq-AL"/>
              </w:rPr>
              <w:t xml:space="preserve">Rezultatet e </w:t>
            </w:r>
            <w:r w:rsidR="00877E12" w:rsidRPr="00236A38">
              <w:rPr>
                <w:rFonts w:ascii="Times New Roman" w:eastAsia="Times New Roman" w:hAnsi="Times New Roman" w:cs="Times New Roman"/>
                <w:color w:val="000000"/>
                <w:sz w:val="24"/>
                <w:szCs w:val="24"/>
              </w:rPr>
              <w:t xml:space="preserve">Indeksi i Kushtimit në Ndërtim (për Banesat) </w:t>
            </w:r>
            <w:r w:rsidRPr="002653A6">
              <w:rPr>
                <w:rFonts w:ascii="Times New Roman" w:eastAsia="Times New Roman" w:hAnsi="Times New Roman" w:cs="Times New Roman"/>
                <w:color w:val="000000"/>
                <w:sz w:val="24"/>
                <w:szCs w:val="24"/>
                <w:lang w:val="sq-AL" w:eastAsia="sq-AL"/>
              </w:rPr>
              <w:t xml:space="preserve">janë publikuar në </w:t>
            </w:r>
            <w:r w:rsidRPr="000A7C51">
              <w:rPr>
                <w:rFonts w:ascii="Times New Roman" w:eastAsia="Times New Roman" w:hAnsi="Times New Roman" w:cs="Times New Roman"/>
                <w:color w:val="000000"/>
                <w:sz w:val="24"/>
                <w:szCs w:val="24"/>
                <w:lang w:val="sq-AL" w:eastAsia="sq-AL"/>
              </w:rPr>
              <w:t xml:space="preserve">faqen e internetit të INSTAT </w:t>
            </w:r>
            <w:r w:rsidR="00D50E7A" w:rsidRPr="000A7C51">
              <w:rPr>
                <w:rFonts w:ascii="Times New Roman" w:eastAsia="Times New Roman" w:hAnsi="Times New Roman" w:cs="Times New Roman"/>
                <w:color w:val="000000"/>
                <w:sz w:val="24"/>
                <w:szCs w:val="24"/>
                <w:lang w:val="sq-AL" w:eastAsia="sq-AL"/>
              </w:rPr>
              <w:t>6</w:t>
            </w:r>
            <w:r w:rsidR="00AC2108" w:rsidRPr="000A7C51">
              <w:rPr>
                <w:rFonts w:ascii="Times New Roman" w:eastAsia="Times New Roman" w:hAnsi="Times New Roman" w:cs="Times New Roman"/>
                <w:color w:val="000000"/>
                <w:sz w:val="24"/>
                <w:szCs w:val="24"/>
                <w:lang w:val="sq-AL" w:eastAsia="sq-AL"/>
              </w:rPr>
              <w:t>3</w:t>
            </w:r>
            <w:r w:rsidRPr="000A7C51">
              <w:rPr>
                <w:rFonts w:ascii="Times New Roman" w:eastAsia="Times New Roman" w:hAnsi="Times New Roman" w:cs="Times New Roman"/>
                <w:color w:val="000000"/>
                <w:sz w:val="24"/>
                <w:szCs w:val="24"/>
                <w:lang w:val="sq-AL" w:eastAsia="sq-AL"/>
              </w:rPr>
              <w:t xml:space="preserve"> ditë pas përfundimit të periudhës referuese (T + </w:t>
            </w:r>
            <w:r w:rsidR="00D50E7A" w:rsidRPr="000A7C51">
              <w:rPr>
                <w:rFonts w:ascii="Times New Roman" w:eastAsia="Times New Roman" w:hAnsi="Times New Roman" w:cs="Times New Roman"/>
                <w:color w:val="000000"/>
                <w:sz w:val="24"/>
                <w:szCs w:val="24"/>
                <w:lang w:val="sq-AL" w:eastAsia="sq-AL"/>
              </w:rPr>
              <w:t>6</w:t>
            </w:r>
            <w:r w:rsidR="00095752" w:rsidRPr="000A7C51">
              <w:rPr>
                <w:rFonts w:ascii="Times New Roman" w:eastAsia="Times New Roman" w:hAnsi="Times New Roman" w:cs="Times New Roman"/>
                <w:color w:val="000000"/>
                <w:sz w:val="24"/>
                <w:szCs w:val="24"/>
                <w:lang w:val="sq-AL" w:eastAsia="sq-AL"/>
              </w:rPr>
              <w:t>3</w:t>
            </w:r>
            <w:r w:rsidR="00514CA4" w:rsidRPr="000A7C51">
              <w:rPr>
                <w:rFonts w:ascii="Times New Roman" w:eastAsia="Times New Roman" w:hAnsi="Times New Roman" w:cs="Times New Roman"/>
                <w:color w:val="000000"/>
                <w:sz w:val="24"/>
                <w:szCs w:val="24"/>
                <w:lang w:val="sq-AL" w:eastAsia="sq-AL"/>
              </w:rPr>
              <w:t xml:space="preserve"> </w:t>
            </w:r>
            <w:r w:rsidRPr="000A7C51">
              <w:rPr>
                <w:rFonts w:ascii="Times New Roman" w:eastAsia="Times New Roman" w:hAnsi="Times New Roman" w:cs="Times New Roman"/>
                <w:color w:val="000000"/>
                <w:sz w:val="24"/>
                <w:szCs w:val="24"/>
                <w:lang w:val="sq-AL" w:eastAsia="sq-AL"/>
              </w:rPr>
              <w:t>ditë).</w:t>
            </w:r>
            <w:r w:rsidRPr="002653A6">
              <w:rPr>
                <w:rFonts w:ascii="Times New Roman" w:eastAsia="Times New Roman" w:hAnsi="Times New Roman" w:cs="Times New Roman"/>
                <w:color w:val="000000"/>
                <w:sz w:val="24"/>
                <w:szCs w:val="24"/>
                <w:lang w:val="sq-AL" w:eastAsia="sq-AL"/>
              </w:rPr>
              <w:t xml:space="preserve"> </w:t>
            </w:r>
          </w:p>
          <w:tbl>
            <w:tblPr>
              <w:tblW w:w="3348" w:type="dxa"/>
              <w:tblLook w:val="04A0" w:firstRow="1" w:lastRow="0" w:firstColumn="1" w:lastColumn="0" w:noHBand="0" w:noVBand="1"/>
            </w:tblPr>
            <w:tblGrid>
              <w:gridCol w:w="2040"/>
              <w:gridCol w:w="1308"/>
            </w:tblGrid>
            <w:tr w:rsidR="007D7309" w:rsidRPr="007D7309" w:rsidTr="00A86CBF">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7309" w:rsidRPr="007D7309" w:rsidRDefault="007D7309" w:rsidP="007D7309">
                  <w:pPr>
                    <w:spacing w:after="0" w:line="240" w:lineRule="auto"/>
                    <w:rPr>
                      <w:rFonts w:ascii="Times New Roman" w:eastAsia="Times New Roman" w:hAnsi="Times New Roman" w:cs="Times New Roman"/>
                      <w:color w:val="000000"/>
                    </w:rPr>
                  </w:pPr>
                  <w:r w:rsidRPr="007D7309">
                    <w:rPr>
                      <w:rFonts w:ascii="Times New Roman" w:eastAsia="Times New Roman" w:hAnsi="Times New Roman" w:cs="Times New Roman"/>
                      <w:color w:val="000000"/>
                    </w:rPr>
                    <w:t>Periudha referuese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rsidR="007D7309" w:rsidRPr="007D7309" w:rsidRDefault="007D7309" w:rsidP="007D7309">
                  <w:pPr>
                    <w:spacing w:after="0" w:line="240" w:lineRule="auto"/>
                    <w:jc w:val="right"/>
                    <w:rPr>
                      <w:rFonts w:ascii="Times New Roman" w:eastAsia="Times New Roman" w:hAnsi="Times New Roman" w:cs="Times New Roman"/>
                      <w:color w:val="000000"/>
                    </w:rPr>
                  </w:pPr>
                  <w:r w:rsidRPr="007D7309">
                    <w:rPr>
                      <w:rFonts w:ascii="Times New Roman" w:eastAsia="Times New Roman" w:hAnsi="Times New Roman" w:cs="Times New Roman"/>
                      <w:color w:val="000000"/>
                    </w:rPr>
                    <w:t>12/31/2020</w:t>
                  </w:r>
                </w:p>
              </w:tc>
            </w:tr>
            <w:tr w:rsidR="007D7309" w:rsidRPr="007D7309" w:rsidTr="00A86CBF">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7D7309" w:rsidRPr="007D7309" w:rsidRDefault="007D7309" w:rsidP="007D7309">
                  <w:pPr>
                    <w:spacing w:after="0" w:line="240" w:lineRule="auto"/>
                    <w:rPr>
                      <w:rFonts w:ascii="Times New Roman" w:eastAsia="Times New Roman" w:hAnsi="Times New Roman" w:cs="Times New Roman"/>
                      <w:color w:val="000000"/>
                    </w:rPr>
                  </w:pPr>
                  <w:r w:rsidRPr="007D7309">
                    <w:rPr>
                      <w:rFonts w:ascii="Times New Roman" w:eastAsia="Times New Roman" w:hAnsi="Times New Roman" w:cs="Times New Roman"/>
                      <w:color w:val="000000"/>
                    </w:rPr>
                    <w:t>Data e publikimit</w:t>
                  </w:r>
                </w:p>
              </w:tc>
              <w:tc>
                <w:tcPr>
                  <w:tcW w:w="1308" w:type="dxa"/>
                  <w:tcBorders>
                    <w:top w:val="nil"/>
                    <w:left w:val="nil"/>
                    <w:bottom w:val="single" w:sz="8" w:space="0" w:color="auto"/>
                    <w:right w:val="single" w:sz="8" w:space="0" w:color="auto"/>
                  </w:tcBorders>
                  <w:shd w:val="clear" w:color="auto" w:fill="auto"/>
                  <w:noWrap/>
                  <w:vAlign w:val="center"/>
                  <w:hideMark/>
                </w:tcPr>
                <w:p w:rsidR="007D7309" w:rsidRPr="007D7309" w:rsidRDefault="007D7309" w:rsidP="007D7309">
                  <w:pPr>
                    <w:spacing w:after="0" w:line="240" w:lineRule="auto"/>
                    <w:jc w:val="right"/>
                    <w:rPr>
                      <w:rFonts w:ascii="Times New Roman" w:eastAsia="Times New Roman" w:hAnsi="Times New Roman" w:cs="Times New Roman"/>
                      <w:color w:val="000000"/>
                    </w:rPr>
                  </w:pPr>
                  <w:r w:rsidRPr="007D7309">
                    <w:rPr>
                      <w:rFonts w:ascii="Times New Roman" w:eastAsia="Times New Roman" w:hAnsi="Times New Roman" w:cs="Times New Roman"/>
                      <w:color w:val="000000"/>
                    </w:rPr>
                    <w:t>3/4/2021</w:t>
                  </w:r>
                </w:p>
              </w:tc>
            </w:tr>
            <w:tr w:rsidR="007D7309" w:rsidRPr="007D7309" w:rsidTr="00A86CBF">
              <w:trPr>
                <w:trHeight w:val="315"/>
              </w:trPr>
              <w:tc>
                <w:tcPr>
                  <w:tcW w:w="2040" w:type="dxa"/>
                  <w:tcBorders>
                    <w:top w:val="nil"/>
                    <w:left w:val="single" w:sz="8" w:space="0" w:color="auto"/>
                    <w:bottom w:val="single" w:sz="8" w:space="0" w:color="auto"/>
                    <w:right w:val="single" w:sz="8" w:space="0" w:color="auto"/>
                  </w:tcBorders>
                  <w:shd w:val="clear" w:color="auto" w:fill="auto"/>
                  <w:noWrap/>
                  <w:vAlign w:val="center"/>
                  <w:hideMark/>
                </w:tcPr>
                <w:p w:rsidR="007D7309" w:rsidRPr="007D7309" w:rsidRDefault="007D7309" w:rsidP="007D7309">
                  <w:pPr>
                    <w:spacing w:after="0" w:line="240" w:lineRule="auto"/>
                    <w:rPr>
                      <w:rFonts w:ascii="Times New Roman" w:eastAsia="Times New Roman" w:hAnsi="Times New Roman" w:cs="Times New Roman"/>
                      <w:color w:val="000000"/>
                    </w:rPr>
                  </w:pPr>
                  <w:r w:rsidRPr="007D7309">
                    <w:rPr>
                      <w:rFonts w:ascii="Times New Roman" w:eastAsia="Times New Roman" w:hAnsi="Times New Roman" w:cs="Times New Roman"/>
                      <w:color w:val="000000"/>
                    </w:rPr>
                    <w:t>Afatet kohore</w:t>
                  </w:r>
                </w:p>
              </w:tc>
              <w:tc>
                <w:tcPr>
                  <w:tcW w:w="1308" w:type="dxa"/>
                  <w:tcBorders>
                    <w:top w:val="nil"/>
                    <w:left w:val="nil"/>
                    <w:bottom w:val="single" w:sz="8" w:space="0" w:color="auto"/>
                    <w:right w:val="single" w:sz="8" w:space="0" w:color="auto"/>
                  </w:tcBorders>
                  <w:shd w:val="clear" w:color="auto" w:fill="auto"/>
                  <w:noWrap/>
                  <w:vAlign w:val="center"/>
                  <w:hideMark/>
                </w:tcPr>
                <w:p w:rsidR="007D7309" w:rsidRPr="007D7309" w:rsidRDefault="007D7309" w:rsidP="007D7309">
                  <w:pPr>
                    <w:spacing w:after="0" w:line="240" w:lineRule="auto"/>
                    <w:jc w:val="right"/>
                    <w:rPr>
                      <w:rFonts w:ascii="Times New Roman" w:eastAsia="Times New Roman" w:hAnsi="Times New Roman" w:cs="Times New Roman"/>
                      <w:color w:val="000000"/>
                    </w:rPr>
                  </w:pPr>
                  <w:r w:rsidRPr="007D7309">
                    <w:rPr>
                      <w:rFonts w:ascii="Times New Roman" w:eastAsia="Times New Roman" w:hAnsi="Times New Roman" w:cs="Times New Roman"/>
                      <w:color w:val="000000"/>
                    </w:rPr>
                    <w:t>63</w:t>
                  </w:r>
                </w:p>
              </w:tc>
            </w:tr>
          </w:tbl>
          <w:p w:rsidR="007D7309" w:rsidRPr="00236A38" w:rsidRDefault="007D7309" w:rsidP="00AC2108">
            <w:pPr>
              <w:spacing w:before="173" w:after="173" w:line="240" w:lineRule="auto"/>
              <w:ind w:left="101" w:right="86"/>
              <w:jc w:val="both"/>
              <w:rPr>
                <w:rFonts w:ascii="Times New Roman" w:eastAsia="Times New Roman" w:hAnsi="Times New Roman" w:cs="Times New Roman"/>
                <w:sz w:val="24"/>
                <w:szCs w:val="24"/>
              </w:rPr>
            </w:pPr>
          </w:p>
        </w:tc>
      </w:tr>
      <w:tr w:rsidR="00236A38" w:rsidRPr="00236A38" w:rsidTr="003D5A7C">
        <w:trPr>
          <w:trHeight w:val="1150"/>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14.2. Përpikmëria</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Default="002653A6" w:rsidP="005258CD">
            <w:pPr>
              <w:spacing w:before="173" w:after="173" w:line="240" w:lineRule="auto"/>
              <w:ind w:right="86"/>
              <w:jc w:val="both"/>
              <w:rPr>
                <w:rFonts w:ascii="Times New Roman" w:eastAsia="Times New Roman" w:hAnsi="Times New Roman" w:cs="Times New Roman"/>
                <w:sz w:val="24"/>
                <w:szCs w:val="24"/>
              </w:rPr>
            </w:pPr>
            <w:r w:rsidRPr="002653A6">
              <w:rPr>
                <w:rFonts w:ascii="Times New Roman" w:eastAsia="Times New Roman" w:hAnsi="Times New Roman" w:cs="Times New Roman"/>
                <w:bCs/>
                <w:color w:val="000000"/>
                <w:sz w:val="24"/>
                <w:szCs w:val="24"/>
                <w:lang w:val="sq-AL" w:eastAsia="sq-AL"/>
              </w:rPr>
              <w:t xml:space="preserve">Të dhënat e </w:t>
            </w:r>
            <w:r w:rsidR="00877E12" w:rsidRPr="00236A38">
              <w:rPr>
                <w:rFonts w:ascii="Times New Roman" w:eastAsia="Times New Roman" w:hAnsi="Times New Roman" w:cs="Times New Roman"/>
                <w:color w:val="000000"/>
                <w:sz w:val="24"/>
                <w:szCs w:val="24"/>
              </w:rPr>
              <w:t xml:space="preserve">Indeksi i Kushtimit në Ndërtim (për Banesat) </w:t>
            </w:r>
            <w:r w:rsidRPr="002653A6">
              <w:rPr>
                <w:rFonts w:ascii="Times New Roman" w:eastAsia="Times New Roman" w:hAnsi="Times New Roman" w:cs="Times New Roman"/>
                <w:bCs/>
                <w:color w:val="000000"/>
                <w:sz w:val="24"/>
                <w:szCs w:val="24"/>
                <w:lang w:val="sq-AL" w:eastAsia="sq-AL"/>
              </w:rPr>
              <w:t xml:space="preserve">publikohen bazuar në kalendarin e publikimeve. Publikimi i </w:t>
            </w:r>
            <w:r w:rsidR="00877E12" w:rsidRPr="00236A38">
              <w:rPr>
                <w:rFonts w:ascii="Times New Roman" w:eastAsia="Times New Roman" w:hAnsi="Times New Roman" w:cs="Times New Roman"/>
                <w:color w:val="000000"/>
                <w:sz w:val="24"/>
                <w:szCs w:val="24"/>
              </w:rPr>
              <w:t xml:space="preserve">Indeksi i Kushtimit në Ndërtim (për Banesat) </w:t>
            </w:r>
            <w:r w:rsidRPr="002653A6">
              <w:rPr>
                <w:rFonts w:ascii="Times New Roman" w:eastAsia="Times New Roman" w:hAnsi="Times New Roman" w:cs="Times New Roman"/>
                <w:bCs/>
                <w:color w:val="000000"/>
                <w:sz w:val="24"/>
                <w:szCs w:val="24"/>
                <w:lang w:val="sq-AL" w:eastAsia="sq-AL"/>
              </w:rPr>
              <w:t>ka qenë i përpiktë në kohë në 100 % të publikimeve të kryera gjatë viteve.</w:t>
            </w:r>
            <w:r w:rsidR="005258CD" w:rsidRPr="00236A38">
              <w:rPr>
                <w:rFonts w:ascii="Times New Roman" w:eastAsia="Times New Roman" w:hAnsi="Times New Roman" w:cs="Times New Roman"/>
                <w:sz w:val="24"/>
                <w:szCs w:val="24"/>
              </w:rPr>
              <w:t xml:space="preserve"> </w:t>
            </w:r>
          </w:p>
          <w:tbl>
            <w:tblPr>
              <w:tblW w:w="3369" w:type="dxa"/>
              <w:tblLook w:val="04A0" w:firstRow="1" w:lastRow="0" w:firstColumn="1" w:lastColumn="0" w:noHBand="0" w:noVBand="1"/>
            </w:tblPr>
            <w:tblGrid>
              <w:gridCol w:w="2040"/>
              <w:gridCol w:w="1329"/>
            </w:tblGrid>
            <w:tr w:rsidR="007D7309" w:rsidRPr="007D7309" w:rsidTr="00A86CBF">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7309" w:rsidRPr="007D7309" w:rsidRDefault="007D7309" w:rsidP="007D7309">
                  <w:pPr>
                    <w:spacing w:after="0" w:line="240" w:lineRule="auto"/>
                    <w:rPr>
                      <w:rFonts w:ascii="Times New Roman" w:eastAsia="Times New Roman" w:hAnsi="Times New Roman" w:cs="Times New Roman"/>
                      <w:color w:val="000000"/>
                    </w:rPr>
                  </w:pPr>
                  <w:r w:rsidRPr="007D7309">
                    <w:rPr>
                      <w:rFonts w:ascii="Times New Roman" w:eastAsia="Times New Roman" w:hAnsi="Times New Roman" w:cs="Times New Roman"/>
                      <w:color w:val="000000"/>
                    </w:rPr>
                    <w:t>Periudha referuese</w:t>
                  </w:r>
                </w:p>
              </w:tc>
              <w:tc>
                <w:tcPr>
                  <w:tcW w:w="1329" w:type="dxa"/>
                  <w:tcBorders>
                    <w:top w:val="single" w:sz="8" w:space="0" w:color="auto"/>
                    <w:left w:val="nil"/>
                    <w:bottom w:val="single" w:sz="8" w:space="0" w:color="auto"/>
                    <w:right w:val="single" w:sz="8" w:space="0" w:color="auto"/>
                  </w:tcBorders>
                  <w:shd w:val="clear" w:color="auto" w:fill="auto"/>
                  <w:noWrap/>
                  <w:vAlign w:val="center"/>
                  <w:hideMark/>
                </w:tcPr>
                <w:p w:rsidR="007D7309" w:rsidRPr="007D7309" w:rsidRDefault="007D7309" w:rsidP="007D7309">
                  <w:pPr>
                    <w:spacing w:after="0" w:line="240" w:lineRule="auto"/>
                    <w:jc w:val="right"/>
                    <w:rPr>
                      <w:rFonts w:ascii="Times New Roman" w:eastAsia="Times New Roman" w:hAnsi="Times New Roman" w:cs="Times New Roman"/>
                      <w:color w:val="000000"/>
                    </w:rPr>
                  </w:pPr>
                  <w:r w:rsidRPr="007D7309">
                    <w:rPr>
                      <w:rFonts w:ascii="Times New Roman" w:eastAsia="Times New Roman" w:hAnsi="Times New Roman" w:cs="Times New Roman"/>
                      <w:color w:val="000000"/>
                    </w:rPr>
                    <w:t>12/31/2020</w:t>
                  </w:r>
                </w:p>
              </w:tc>
            </w:tr>
            <w:tr w:rsidR="007D7309" w:rsidRPr="007D7309" w:rsidTr="00A86CBF">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7D7309" w:rsidRPr="007D7309" w:rsidRDefault="007D7309" w:rsidP="007D7309">
                  <w:pPr>
                    <w:spacing w:after="0" w:line="240" w:lineRule="auto"/>
                    <w:rPr>
                      <w:rFonts w:ascii="Times New Roman" w:eastAsia="Times New Roman" w:hAnsi="Times New Roman" w:cs="Times New Roman"/>
                      <w:color w:val="000000"/>
                    </w:rPr>
                  </w:pPr>
                  <w:r w:rsidRPr="007D7309">
                    <w:rPr>
                      <w:rFonts w:ascii="Times New Roman" w:eastAsia="Times New Roman" w:hAnsi="Times New Roman" w:cs="Times New Roman"/>
                      <w:color w:val="000000"/>
                    </w:rPr>
                    <w:t>Data e shpallur</w:t>
                  </w:r>
                </w:p>
              </w:tc>
              <w:tc>
                <w:tcPr>
                  <w:tcW w:w="1329" w:type="dxa"/>
                  <w:tcBorders>
                    <w:top w:val="nil"/>
                    <w:left w:val="nil"/>
                    <w:bottom w:val="single" w:sz="8" w:space="0" w:color="auto"/>
                    <w:right w:val="single" w:sz="8" w:space="0" w:color="auto"/>
                  </w:tcBorders>
                  <w:shd w:val="clear" w:color="auto" w:fill="auto"/>
                  <w:noWrap/>
                  <w:vAlign w:val="center"/>
                  <w:hideMark/>
                </w:tcPr>
                <w:p w:rsidR="007D7309" w:rsidRPr="007D7309" w:rsidRDefault="007D7309" w:rsidP="007D7309">
                  <w:pPr>
                    <w:spacing w:after="0" w:line="240" w:lineRule="auto"/>
                    <w:jc w:val="right"/>
                    <w:rPr>
                      <w:rFonts w:ascii="Times New Roman" w:eastAsia="Times New Roman" w:hAnsi="Times New Roman" w:cs="Times New Roman"/>
                      <w:color w:val="000000"/>
                    </w:rPr>
                  </w:pPr>
                  <w:r w:rsidRPr="007D7309">
                    <w:rPr>
                      <w:rFonts w:ascii="Times New Roman" w:eastAsia="Times New Roman" w:hAnsi="Times New Roman" w:cs="Times New Roman"/>
                      <w:color w:val="000000"/>
                    </w:rPr>
                    <w:t>3/4/2021</w:t>
                  </w:r>
                </w:p>
              </w:tc>
            </w:tr>
            <w:tr w:rsidR="007D7309" w:rsidRPr="007D7309" w:rsidTr="00A86CBF">
              <w:trPr>
                <w:trHeight w:val="315"/>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7D7309" w:rsidRPr="007D7309" w:rsidRDefault="007D7309" w:rsidP="007D7309">
                  <w:pPr>
                    <w:spacing w:after="0" w:line="240" w:lineRule="auto"/>
                    <w:rPr>
                      <w:rFonts w:ascii="Times New Roman" w:eastAsia="Times New Roman" w:hAnsi="Times New Roman" w:cs="Times New Roman"/>
                      <w:color w:val="000000"/>
                    </w:rPr>
                  </w:pPr>
                  <w:r w:rsidRPr="007D7309">
                    <w:rPr>
                      <w:rFonts w:ascii="Times New Roman" w:eastAsia="Times New Roman" w:hAnsi="Times New Roman" w:cs="Times New Roman"/>
                      <w:color w:val="000000"/>
                    </w:rPr>
                    <w:t>Data e publikimit</w:t>
                  </w:r>
                </w:p>
              </w:tc>
              <w:tc>
                <w:tcPr>
                  <w:tcW w:w="1329" w:type="dxa"/>
                  <w:tcBorders>
                    <w:top w:val="nil"/>
                    <w:left w:val="nil"/>
                    <w:bottom w:val="single" w:sz="8" w:space="0" w:color="auto"/>
                    <w:right w:val="single" w:sz="8" w:space="0" w:color="auto"/>
                  </w:tcBorders>
                  <w:shd w:val="clear" w:color="auto" w:fill="auto"/>
                  <w:noWrap/>
                  <w:vAlign w:val="center"/>
                  <w:hideMark/>
                </w:tcPr>
                <w:p w:rsidR="007D7309" w:rsidRPr="007D7309" w:rsidRDefault="007D7309" w:rsidP="007D7309">
                  <w:pPr>
                    <w:spacing w:after="0" w:line="240" w:lineRule="auto"/>
                    <w:jc w:val="right"/>
                    <w:rPr>
                      <w:rFonts w:ascii="Times New Roman" w:eastAsia="Times New Roman" w:hAnsi="Times New Roman" w:cs="Times New Roman"/>
                      <w:color w:val="000000"/>
                    </w:rPr>
                  </w:pPr>
                  <w:r w:rsidRPr="007D7309">
                    <w:rPr>
                      <w:rFonts w:ascii="Times New Roman" w:eastAsia="Times New Roman" w:hAnsi="Times New Roman" w:cs="Times New Roman"/>
                      <w:color w:val="000000"/>
                    </w:rPr>
                    <w:t>3/4/2021</w:t>
                  </w:r>
                </w:p>
              </w:tc>
            </w:tr>
            <w:tr w:rsidR="007D7309" w:rsidRPr="007D7309" w:rsidTr="00A86CBF">
              <w:trPr>
                <w:trHeight w:val="315"/>
              </w:trPr>
              <w:tc>
                <w:tcPr>
                  <w:tcW w:w="2040" w:type="dxa"/>
                  <w:tcBorders>
                    <w:top w:val="nil"/>
                    <w:left w:val="single" w:sz="8" w:space="0" w:color="auto"/>
                    <w:bottom w:val="single" w:sz="8" w:space="0" w:color="auto"/>
                    <w:right w:val="single" w:sz="8" w:space="0" w:color="auto"/>
                  </w:tcBorders>
                  <w:shd w:val="clear" w:color="auto" w:fill="auto"/>
                  <w:noWrap/>
                  <w:vAlign w:val="center"/>
                  <w:hideMark/>
                </w:tcPr>
                <w:p w:rsidR="007D7309" w:rsidRPr="007D7309" w:rsidRDefault="007D7309" w:rsidP="007D7309">
                  <w:pPr>
                    <w:spacing w:after="0" w:line="240" w:lineRule="auto"/>
                    <w:rPr>
                      <w:rFonts w:ascii="Times New Roman" w:eastAsia="Times New Roman" w:hAnsi="Times New Roman" w:cs="Times New Roman"/>
                      <w:color w:val="000000"/>
                    </w:rPr>
                  </w:pPr>
                  <w:r w:rsidRPr="007D7309">
                    <w:rPr>
                      <w:rFonts w:ascii="Times New Roman" w:eastAsia="Times New Roman" w:hAnsi="Times New Roman" w:cs="Times New Roman"/>
                      <w:color w:val="000000"/>
                    </w:rPr>
                    <w:t>Vonesa në kohë</w:t>
                  </w:r>
                </w:p>
              </w:tc>
              <w:tc>
                <w:tcPr>
                  <w:tcW w:w="1329" w:type="dxa"/>
                  <w:tcBorders>
                    <w:top w:val="nil"/>
                    <w:left w:val="nil"/>
                    <w:bottom w:val="single" w:sz="8" w:space="0" w:color="auto"/>
                    <w:right w:val="single" w:sz="8" w:space="0" w:color="auto"/>
                  </w:tcBorders>
                  <w:shd w:val="clear" w:color="auto" w:fill="auto"/>
                  <w:noWrap/>
                  <w:vAlign w:val="center"/>
                  <w:hideMark/>
                </w:tcPr>
                <w:p w:rsidR="007D7309" w:rsidRPr="007D7309" w:rsidRDefault="007D7309" w:rsidP="007D7309">
                  <w:pPr>
                    <w:spacing w:after="0" w:line="240" w:lineRule="auto"/>
                    <w:jc w:val="right"/>
                    <w:rPr>
                      <w:rFonts w:ascii="Times New Roman" w:eastAsia="Times New Roman" w:hAnsi="Times New Roman" w:cs="Times New Roman"/>
                      <w:color w:val="000000"/>
                    </w:rPr>
                  </w:pPr>
                  <w:r w:rsidRPr="007D7309">
                    <w:rPr>
                      <w:rFonts w:ascii="Times New Roman" w:eastAsia="Times New Roman" w:hAnsi="Times New Roman" w:cs="Times New Roman"/>
                      <w:color w:val="000000"/>
                    </w:rPr>
                    <w:t>0</w:t>
                  </w:r>
                </w:p>
              </w:tc>
            </w:tr>
          </w:tbl>
          <w:p w:rsidR="007D7309" w:rsidRPr="00236A38" w:rsidRDefault="007D7309" w:rsidP="005258CD">
            <w:pPr>
              <w:spacing w:before="173" w:after="173" w:line="240" w:lineRule="auto"/>
              <w:ind w:right="86"/>
              <w:jc w:val="both"/>
              <w:rPr>
                <w:rFonts w:ascii="Times New Roman" w:eastAsia="Times New Roman" w:hAnsi="Times New Roman" w:cs="Times New Roman"/>
                <w:sz w:val="24"/>
                <w:szCs w:val="24"/>
              </w:rPr>
            </w:pP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28" w:name="_Toc474418820"/>
            <w:bookmarkStart w:id="29" w:name="_Toc67558941"/>
            <w:bookmarkEnd w:id="28"/>
            <w:r w:rsidRPr="00236A38">
              <w:rPr>
                <w:rFonts w:ascii="Times New Roman" w:eastAsia="Times New Roman" w:hAnsi="Times New Roman" w:cs="Times New Roman"/>
                <w:b/>
                <w:bCs/>
                <w:color w:val="000000"/>
                <w:kern w:val="36"/>
                <w:sz w:val="24"/>
                <w:szCs w:val="24"/>
              </w:rPr>
              <w:t>15. Koherenca dhe Krahasueshmëria</w:t>
            </w:r>
            <w:bookmarkEnd w:id="29"/>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15.1. Krahasueshmëria gjeografike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Informacioni grumbullohet në nivel vendi. Indeksi llogaritet në nivel vendi. </w:t>
            </w:r>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15.2. Krahasueshmëria kohore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84EF5">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Indeki i Kushtimit në Ndërtim (për banesa) prodhohet me frekuencë tremujore, vjetore dhe rezultatet janë të krahasueshme. Seritë kohore janë të disponueshme që nga viti 1993 </w:t>
            </w:r>
            <w:r w:rsidR="00692DB8">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me periudha bazë: 1993 = 100; Tr.4.1999 = 100 dhe aktualisht Tr.1.2011 = 100</w:t>
            </w:r>
            <w:r w:rsidR="00692DB8">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 xml:space="preserve">. Sidoqoftë, kur krahasojmë indekset në periudha të ndryshme kohore duhet të kihet </w:t>
            </w:r>
            <w:r w:rsidRPr="00236A38">
              <w:rPr>
                <w:rFonts w:ascii="Times New Roman" w:eastAsia="Times New Roman" w:hAnsi="Times New Roman" w:cs="Times New Roman"/>
                <w:color w:val="000000"/>
                <w:sz w:val="24"/>
                <w:szCs w:val="24"/>
              </w:rPr>
              <w:lastRenderedPageBreak/>
              <w:t>parasysh se matja e ecurisë së çmimeve nuk realizohet për ndërtesa të ngjashme të krahasueshme, por për lloje të ndryshme të ndërtesave të ndërtuara në periudha të ndryshme duke</w:t>
            </w:r>
            <w:r w:rsidR="00584EF5">
              <w:rPr>
                <w:rFonts w:ascii="Times New Roman" w:eastAsia="Times New Roman" w:hAnsi="Times New Roman" w:cs="Times New Roman"/>
                <w:color w:val="000000"/>
                <w:sz w:val="24"/>
                <w:szCs w:val="24"/>
              </w:rPr>
              <w:t xml:space="preserve"> përdorur teknika të ndryshme, </w:t>
            </w:r>
            <w:r w:rsidRPr="00236A38">
              <w:rPr>
                <w:rFonts w:ascii="Times New Roman" w:eastAsia="Times New Roman" w:hAnsi="Times New Roman" w:cs="Times New Roman"/>
                <w:color w:val="000000"/>
                <w:sz w:val="24"/>
                <w:szCs w:val="24"/>
              </w:rPr>
              <w:t xml:space="preserve">materiale të ndryshme dhe me kërkesa të ndryshme ligjore. Kjo do të thotë se jo vetëm struktura e peshave, por edhe metodat për grumbullimin e çmimeve dhe llogaritjen e indekseve janë të ndryshme. Për të mundësuar krahasimin duhet që indekset të llogariten me të njëjtën periudhë bazë. </w:t>
            </w:r>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lastRenderedPageBreak/>
              <w:t>15.3. Koherenca e ndërthurjes së fushave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Indekset nuk janë të krahasueshme me tregues të tjerë. </w:t>
            </w:r>
          </w:p>
        </w:tc>
      </w:tr>
      <w:tr w:rsidR="00236A38" w:rsidRPr="00236A38" w:rsidTr="003D5A7C">
        <w:trPr>
          <w:trHeight w:val="90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15.4. Koherenca e brendshme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570E3E">
            <w:pPr>
              <w:spacing w:before="240" w:after="24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Indekset janë të krahasueshme pjesërisht me Indeksin e Çmimeve të Prodhimit dhe atë të Konsumit.</w:t>
            </w:r>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0A7C51"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30" w:name="_Toc474418821"/>
            <w:bookmarkStart w:id="31" w:name="_Toc67558942"/>
            <w:bookmarkEnd w:id="30"/>
            <w:r w:rsidRPr="000A7C51">
              <w:rPr>
                <w:rFonts w:ascii="Times New Roman" w:eastAsia="Times New Roman" w:hAnsi="Times New Roman" w:cs="Times New Roman"/>
                <w:b/>
                <w:bCs/>
                <w:kern w:val="36"/>
                <w:sz w:val="24"/>
                <w:szCs w:val="24"/>
              </w:rPr>
              <w:t>16. Kostoja dhe ngarkesa</w:t>
            </w:r>
            <w:bookmarkEnd w:id="31"/>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3A" w:rsidRPr="00626E1C" w:rsidRDefault="00236A38" w:rsidP="0086793A">
            <w:pPr>
              <w:spacing w:before="240" w:after="0" w:line="240" w:lineRule="auto"/>
              <w:ind w:left="101" w:right="86"/>
              <w:jc w:val="both"/>
              <w:rPr>
                <w:rFonts w:ascii="Times New Roman" w:eastAsia="Times New Roman" w:hAnsi="Times New Roman" w:cs="Times New Roman"/>
                <w:bCs/>
                <w:kern w:val="36"/>
                <w:sz w:val="24"/>
                <w:szCs w:val="24"/>
              </w:rPr>
            </w:pPr>
            <w:r w:rsidRPr="00626E1C">
              <w:rPr>
                <w:rFonts w:ascii="Times New Roman" w:eastAsia="Times New Roman" w:hAnsi="Times New Roman" w:cs="Times New Roman"/>
                <w:bCs/>
                <w:kern w:val="36"/>
                <w:sz w:val="24"/>
                <w:szCs w:val="24"/>
              </w:rPr>
              <w:t xml:space="preserve">Personat që punojnë për anketat e Çmimeve: IKN, IÇP, IÇI dhe IÇSh: </w:t>
            </w:r>
            <w:r w:rsidR="00CD6D7F" w:rsidRPr="00626E1C">
              <w:rPr>
                <w:rFonts w:ascii="Times New Roman" w:eastAsia="Times New Roman" w:hAnsi="Times New Roman" w:cs="Times New Roman"/>
                <w:bCs/>
                <w:kern w:val="36"/>
                <w:sz w:val="24"/>
                <w:szCs w:val="24"/>
              </w:rPr>
              <w:t>G</w:t>
            </w:r>
            <w:r w:rsidR="00626E1C">
              <w:rPr>
                <w:rFonts w:ascii="Times New Roman" w:eastAsia="Times New Roman" w:hAnsi="Times New Roman" w:cs="Times New Roman"/>
                <w:bCs/>
                <w:kern w:val="36"/>
                <w:sz w:val="24"/>
                <w:szCs w:val="24"/>
              </w:rPr>
              <w:t>j</w:t>
            </w:r>
            <w:bookmarkStart w:id="32" w:name="_GoBack"/>
            <w:bookmarkEnd w:id="32"/>
            <w:r w:rsidR="00CD6D7F" w:rsidRPr="00626E1C">
              <w:rPr>
                <w:rFonts w:ascii="Times New Roman" w:eastAsia="Times New Roman" w:hAnsi="Times New Roman" w:cs="Times New Roman"/>
                <w:bCs/>
                <w:kern w:val="36"/>
                <w:sz w:val="24"/>
                <w:szCs w:val="24"/>
              </w:rPr>
              <w:t>ithsej: 7</w:t>
            </w:r>
            <w:r w:rsidR="00643D06" w:rsidRPr="00626E1C">
              <w:rPr>
                <w:rFonts w:ascii="Times New Roman" w:eastAsia="Times New Roman" w:hAnsi="Times New Roman" w:cs="Times New Roman"/>
                <w:bCs/>
                <w:kern w:val="36"/>
                <w:sz w:val="24"/>
                <w:szCs w:val="24"/>
              </w:rPr>
              <w:t>3</w:t>
            </w:r>
            <w:r w:rsidRPr="00626E1C">
              <w:rPr>
                <w:rFonts w:ascii="Times New Roman" w:eastAsia="Times New Roman" w:hAnsi="Times New Roman" w:cs="Times New Roman"/>
                <w:bCs/>
                <w:kern w:val="36"/>
                <w:sz w:val="24"/>
                <w:szCs w:val="24"/>
              </w:rPr>
              <w:t xml:space="preserve"> punonjës </w:t>
            </w:r>
          </w:p>
          <w:p w:rsidR="0086793A" w:rsidRPr="00626E1C" w:rsidRDefault="00BD452E" w:rsidP="00BD452E">
            <w:pPr>
              <w:pStyle w:val="NoSpacing"/>
              <w:rPr>
                <w:rFonts w:eastAsia="Times New Roman"/>
                <w:bCs/>
                <w:kern w:val="36"/>
                <w:sz w:val="24"/>
                <w:szCs w:val="24"/>
              </w:rPr>
            </w:pPr>
            <w:r w:rsidRPr="00626E1C">
              <w:rPr>
                <w:rFonts w:eastAsia="Times New Roman"/>
                <w:bCs/>
                <w:kern w:val="36"/>
                <w:sz w:val="24"/>
                <w:szCs w:val="24"/>
              </w:rPr>
              <w:t xml:space="preserve"> </w:t>
            </w:r>
            <w:r w:rsidR="00236A38" w:rsidRPr="00626E1C">
              <w:rPr>
                <w:rFonts w:eastAsia="Times New Roman"/>
                <w:bCs/>
                <w:kern w:val="36"/>
                <w:sz w:val="24"/>
                <w:szCs w:val="24"/>
              </w:rPr>
              <w:t xml:space="preserve">· Stafi i përgjithshëm në zyrat qëndrore: </w:t>
            </w:r>
            <w:r w:rsidR="00643D06" w:rsidRPr="00626E1C">
              <w:rPr>
                <w:rFonts w:eastAsia="Times New Roman"/>
                <w:bCs/>
                <w:kern w:val="36"/>
                <w:sz w:val="24"/>
                <w:szCs w:val="24"/>
              </w:rPr>
              <w:t>3</w:t>
            </w:r>
            <w:r w:rsidR="00236A38" w:rsidRPr="00626E1C">
              <w:rPr>
                <w:rFonts w:eastAsia="Times New Roman"/>
                <w:bCs/>
                <w:kern w:val="36"/>
                <w:sz w:val="24"/>
                <w:szCs w:val="24"/>
              </w:rPr>
              <w:t xml:space="preserve"> punonjës </w:t>
            </w:r>
          </w:p>
          <w:p w:rsidR="0086793A" w:rsidRPr="00626E1C" w:rsidRDefault="00440958" w:rsidP="00440958">
            <w:pPr>
              <w:pStyle w:val="NoSpacing"/>
              <w:rPr>
                <w:rFonts w:eastAsia="Times New Roman"/>
                <w:bCs/>
                <w:kern w:val="36"/>
                <w:sz w:val="24"/>
                <w:szCs w:val="24"/>
              </w:rPr>
            </w:pPr>
            <w:r w:rsidRPr="00626E1C">
              <w:rPr>
                <w:rFonts w:eastAsia="Times New Roman"/>
                <w:bCs/>
                <w:kern w:val="36"/>
                <w:sz w:val="24"/>
                <w:szCs w:val="24"/>
              </w:rPr>
              <w:t xml:space="preserve"> </w:t>
            </w:r>
            <w:r w:rsidR="00CB5901" w:rsidRPr="00626E1C">
              <w:rPr>
                <w:rFonts w:eastAsia="Times New Roman"/>
                <w:bCs/>
                <w:kern w:val="36"/>
                <w:sz w:val="24"/>
                <w:szCs w:val="24"/>
              </w:rPr>
              <w:t xml:space="preserve">· </w:t>
            </w:r>
            <w:r w:rsidR="00236A38" w:rsidRPr="00626E1C">
              <w:rPr>
                <w:rFonts w:eastAsia="Times New Roman"/>
                <w:bCs/>
                <w:kern w:val="36"/>
                <w:sz w:val="24"/>
                <w:szCs w:val="24"/>
              </w:rPr>
              <w:t>Intervistuesit 6</w:t>
            </w:r>
            <w:r w:rsidR="00643D06" w:rsidRPr="00626E1C">
              <w:rPr>
                <w:rFonts w:eastAsia="Times New Roman"/>
                <w:bCs/>
                <w:kern w:val="36"/>
                <w:sz w:val="24"/>
                <w:szCs w:val="24"/>
              </w:rPr>
              <w:t>5</w:t>
            </w:r>
            <w:r w:rsidR="00236A38" w:rsidRPr="00626E1C">
              <w:rPr>
                <w:rFonts w:eastAsia="Times New Roman"/>
                <w:bCs/>
                <w:kern w:val="36"/>
                <w:sz w:val="24"/>
                <w:szCs w:val="24"/>
              </w:rPr>
              <w:t xml:space="preserve"> nga të c</w:t>
            </w:r>
            <w:r w:rsidRPr="00626E1C">
              <w:rPr>
                <w:rFonts w:eastAsia="Times New Roman"/>
                <w:bCs/>
                <w:kern w:val="36"/>
                <w:sz w:val="24"/>
                <w:szCs w:val="24"/>
              </w:rPr>
              <w:t xml:space="preserve">ilët: 40 anketues afatgjatë dhe </w:t>
            </w:r>
            <w:r w:rsidR="00236A38" w:rsidRPr="00626E1C">
              <w:rPr>
                <w:rFonts w:eastAsia="Times New Roman"/>
                <w:bCs/>
                <w:kern w:val="36"/>
                <w:sz w:val="24"/>
                <w:szCs w:val="24"/>
              </w:rPr>
              <w:t>2</w:t>
            </w:r>
            <w:r w:rsidR="00643D06" w:rsidRPr="00626E1C">
              <w:rPr>
                <w:rFonts w:eastAsia="Times New Roman"/>
                <w:bCs/>
                <w:kern w:val="36"/>
                <w:sz w:val="24"/>
                <w:szCs w:val="24"/>
              </w:rPr>
              <w:t>5</w:t>
            </w:r>
            <w:r w:rsidR="00236A38" w:rsidRPr="00626E1C">
              <w:rPr>
                <w:rFonts w:eastAsia="Times New Roman"/>
                <w:bCs/>
                <w:kern w:val="36"/>
                <w:sz w:val="24"/>
                <w:szCs w:val="24"/>
              </w:rPr>
              <w:t xml:space="preserve"> afatshkurtër</w:t>
            </w:r>
          </w:p>
          <w:p w:rsidR="00236A38" w:rsidRPr="000A7C51" w:rsidRDefault="00236A38" w:rsidP="0086793A">
            <w:pPr>
              <w:spacing w:after="240" w:line="240" w:lineRule="auto"/>
              <w:ind w:right="86"/>
              <w:jc w:val="both"/>
              <w:rPr>
                <w:rFonts w:ascii="Times New Roman" w:eastAsia="Times New Roman" w:hAnsi="Times New Roman" w:cs="Times New Roman"/>
                <w:bCs/>
                <w:kern w:val="36"/>
                <w:sz w:val="24"/>
                <w:szCs w:val="24"/>
              </w:rPr>
            </w:pPr>
            <w:r w:rsidRPr="00626E1C">
              <w:rPr>
                <w:rFonts w:ascii="Times New Roman" w:eastAsia="Times New Roman" w:hAnsi="Times New Roman" w:cs="Times New Roman"/>
                <w:bCs/>
                <w:kern w:val="36"/>
                <w:sz w:val="24"/>
                <w:szCs w:val="24"/>
              </w:rPr>
              <w:t xml:space="preserve"> ·</w:t>
            </w:r>
            <w:r w:rsidR="00CB5901" w:rsidRPr="00626E1C">
              <w:rPr>
                <w:rFonts w:ascii="Times New Roman" w:eastAsia="Times New Roman" w:hAnsi="Times New Roman" w:cs="Times New Roman"/>
                <w:bCs/>
                <w:kern w:val="36"/>
                <w:sz w:val="24"/>
                <w:szCs w:val="24"/>
              </w:rPr>
              <w:t xml:space="preserve"> </w:t>
            </w:r>
            <w:r w:rsidR="00EF0FB5" w:rsidRPr="00626E1C">
              <w:rPr>
                <w:rFonts w:ascii="Times New Roman" w:eastAsia="Times New Roman" w:hAnsi="Times New Roman" w:cs="Times New Roman"/>
                <w:bCs/>
                <w:kern w:val="36"/>
                <w:sz w:val="24"/>
                <w:szCs w:val="24"/>
              </w:rPr>
              <w:t>Operatorët (4 muaj)</w:t>
            </w:r>
            <w:r w:rsidR="007A196F" w:rsidRPr="00626E1C">
              <w:rPr>
                <w:rFonts w:ascii="Times New Roman" w:eastAsia="Times New Roman" w:hAnsi="Times New Roman" w:cs="Times New Roman"/>
                <w:bCs/>
                <w:kern w:val="36"/>
                <w:sz w:val="24"/>
                <w:szCs w:val="24"/>
              </w:rPr>
              <w:t>:</w:t>
            </w:r>
            <w:r w:rsidR="00EF0FB5" w:rsidRPr="00626E1C">
              <w:rPr>
                <w:rFonts w:ascii="Times New Roman" w:eastAsia="Times New Roman" w:hAnsi="Times New Roman" w:cs="Times New Roman"/>
                <w:bCs/>
                <w:kern w:val="36"/>
                <w:sz w:val="24"/>
                <w:szCs w:val="24"/>
              </w:rPr>
              <w:t xml:space="preserve"> </w:t>
            </w:r>
            <w:r w:rsidR="00643D06" w:rsidRPr="00626E1C">
              <w:rPr>
                <w:rFonts w:ascii="Times New Roman" w:eastAsia="Times New Roman" w:hAnsi="Times New Roman" w:cs="Times New Roman"/>
                <w:bCs/>
                <w:kern w:val="36"/>
                <w:sz w:val="24"/>
                <w:szCs w:val="24"/>
              </w:rPr>
              <w:t>5</w:t>
            </w:r>
            <w:r w:rsidRPr="00626E1C">
              <w:rPr>
                <w:rFonts w:ascii="Times New Roman" w:eastAsia="Times New Roman" w:hAnsi="Times New Roman" w:cs="Times New Roman"/>
                <w:bCs/>
                <w:kern w:val="36"/>
                <w:sz w:val="24"/>
                <w:szCs w:val="24"/>
              </w:rPr>
              <w:t xml:space="preserve"> punonjës.</w:t>
            </w:r>
          </w:p>
        </w:tc>
      </w:tr>
      <w:tr w:rsidR="00236A38" w:rsidRPr="00236A38" w:rsidTr="003D5A7C">
        <w:trPr>
          <w:trHeight w:val="562"/>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33" w:name="_Toc474418822"/>
            <w:bookmarkStart w:id="34" w:name="_Toc67558943"/>
            <w:bookmarkEnd w:id="33"/>
            <w:r w:rsidRPr="00236A38">
              <w:rPr>
                <w:rFonts w:ascii="Times New Roman" w:eastAsia="Times New Roman" w:hAnsi="Times New Roman" w:cs="Times New Roman"/>
                <w:b/>
                <w:bCs/>
                <w:color w:val="000000"/>
                <w:kern w:val="36"/>
                <w:sz w:val="24"/>
                <w:szCs w:val="24"/>
              </w:rPr>
              <w:t>17. Rishikimi i të dhënave</w:t>
            </w:r>
            <w:bookmarkEnd w:id="34"/>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17.1. Politika e rishikimit</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1EF3" w:rsidRDefault="00236A38" w:rsidP="007A47F4">
            <w:pPr>
              <w:spacing w:before="200" w:after="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sz w:val="24"/>
                <w:szCs w:val="24"/>
              </w:rPr>
              <w:t>Politikat e rishikimit bëhen në përputhje me politikën e rishikimit si dhe politikën e trajtimit të gabimeve të vendosura nga INSTAT. E njëjta politikë rishikimi zbatohet për të dhënat në nivel kombëtar dhe ato të transmetuara në EUROSTAT. Për më shumë referohuni:</w:t>
            </w:r>
          </w:p>
          <w:p w:rsidR="009129C8" w:rsidRDefault="00265D56" w:rsidP="009129C8">
            <w:pPr>
              <w:numPr>
                <w:ilvl w:val="0"/>
                <w:numId w:val="6"/>
              </w:numPr>
              <w:spacing w:after="0"/>
              <w:ind w:right="86"/>
              <w:contextualSpacing/>
              <w:jc w:val="both"/>
              <w:rPr>
                <w:rFonts w:ascii="Times New Roman" w:eastAsia="Times New Roman" w:hAnsi="Times New Roman" w:cs="Times New Roman"/>
                <w:sz w:val="24"/>
                <w:szCs w:val="24"/>
              </w:rPr>
            </w:pPr>
            <w:hyperlink r:id="rId23">
              <w:r w:rsidR="003F3755" w:rsidRPr="007E4A2F">
                <w:rPr>
                  <w:rFonts w:ascii="Times New Roman" w:eastAsia="Times New Roman" w:hAnsi="Times New Roman" w:cs="Times New Roman"/>
                  <w:color w:val="0000FF"/>
                  <w:sz w:val="24"/>
                  <w:szCs w:val="24"/>
                  <w:u w:val="single" w:color="0000FF"/>
                  <w:lang w:eastAsia="en-GB"/>
                </w:rPr>
                <w:t>Politika e revizionimit</w:t>
              </w:r>
            </w:hyperlink>
          </w:p>
          <w:p w:rsidR="009129C8" w:rsidRPr="009129C8" w:rsidRDefault="00265D56" w:rsidP="009129C8">
            <w:pPr>
              <w:numPr>
                <w:ilvl w:val="0"/>
                <w:numId w:val="6"/>
              </w:numPr>
              <w:spacing w:after="0"/>
              <w:ind w:right="86"/>
              <w:contextualSpacing/>
              <w:jc w:val="both"/>
              <w:rPr>
                <w:rFonts w:ascii="Times New Roman" w:eastAsia="Times New Roman" w:hAnsi="Times New Roman" w:cs="Times New Roman"/>
                <w:sz w:val="24"/>
                <w:szCs w:val="24"/>
              </w:rPr>
            </w:pPr>
            <w:hyperlink r:id="rId24">
              <w:r w:rsidR="003F3755" w:rsidRPr="009129C8">
                <w:rPr>
                  <w:rFonts w:ascii="Times New Roman" w:eastAsia="Calibri" w:hAnsi="Times New Roman" w:cs="Times New Roman"/>
                  <w:color w:val="0000FF"/>
                  <w:sz w:val="24"/>
                  <w:szCs w:val="24"/>
                  <w:u w:val="single" w:color="0000FF"/>
                  <w:lang w:val="sq-AL" w:eastAsia="en-GB"/>
                </w:rPr>
                <w:t>Politika e trajtimit të gabimeve</w:t>
              </w:r>
            </w:hyperlink>
            <w:r w:rsidR="00045568">
              <w:t>.</w:t>
            </w:r>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17.2. Praktika e rishikimit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7A47F4">
            <w:pPr>
              <w:spacing w:before="200" w:line="240" w:lineRule="auto"/>
              <w:ind w:left="101" w:right="86"/>
              <w:jc w:val="both"/>
              <w:rPr>
                <w:rFonts w:ascii="Times New Roman" w:eastAsia="Times New Roman" w:hAnsi="Times New Roman" w:cs="Times New Roman"/>
                <w:sz w:val="24"/>
                <w:szCs w:val="24"/>
              </w:rPr>
            </w:pPr>
            <w:r w:rsidRPr="000E1EF3">
              <w:rPr>
                <w:rFonts w:ascii="Times New Roman" w:eastAsia="Times New Roman" w:hAnsi="Times New Roman" w:cs="Times New Roman"/>
                <w:color w:val="000000"/>
                <w:sz w:val="24"/>
                <w:szCs w:val="24"/>
              </w:rPr>
              <w:t>Të dhënat e publikuara nuk konsiderohen përfundimtare dhe mund të rishikohen. Indekset mund të rishikohen për disa arsye: Informacion shtesë, ndryshime metodologjike, ndryshimi i periudhës bazë, korrigjime të gabimeve ose ndryshime metodologjike, por rishikimet janë përgjithësisht mjaft të kufizuara në shkallë.</w:t>
            </w:r>
            <w:r w:rsidRPr="00236A38">
              <w:rPr>
                <w:rFonts w:ascii="Times New Roman" w:eastAsia="Times New Roman" w:hAnsi="Times New Roman" w:cs="Times New Roman"/>
                <w:color w:val="000000"/>
                <w:sz w:val="24"/>
                <w:szCs w:val="24"/>
              </w:rPr>
              <w:t xml:space="preserve"> </w:t>
            </w:r>
          </w:p>
        </w:tc>
      </w:tr>
      <w:tr w:rsidR="00236A38" w:rsidRPr="00236A38" w:rsidTr="003D5A7C">
        <w:trPr>
          <w:trHeight w:val="562"/>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35" w:name="_Toc474418823"/>
            <w:bookmarkStart w:id="36" w:name="_Toc67558944"/>
            <w:bookmarkEnd w:id="35"/>
            <w:r w:rsidRPr="00236A38">
              <w:rPr>
                <w:rFonts w:ascii="Times New Roman" w:eastAsia="Times New Roman" w:hAnsi="Times New Roman" w:cs="Times New Roman"/>
                <w:b/>
                <w:bCs/>
                <w:color w:val="000000"/>
                <w:kern w:val="36"/>
                <w:sz w:val="24"/>
                <w:szCs w:val="24"/>
              </w:rPr>
              <w:t>18. Përpunimi statistikor</w:t>
            </w:r>
            <w:bookmarkEnd w:id="36"/>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18.1. Burimi i të dhënave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1EF3" w:rsidRDefault="00236A38" w:rsidP="007A47F4">
            <w:pPr>
              <w:spacing w:before="200"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Burimi i të dhënave për IKN (për banesa) janë: </w:t>
            </w:r>
          </w:p>
          <w:p w:rsidR="00E64A21" w:rsidRDefault="00236A38" w:rsidP="00E64A21">
            <w:pPr>
              <w:pStyle w:val="ListParagraph"/>
              <w:numPr>
                <w:ilvl w:val="0"/>
                <w:numId w:val="8"/>
              </w:numPr>
              <w:spacing w:after="0" w:line="240" w:lineRule="auto"/>
              <w:ind w:right="86"/>
              <w:jc w:val="both"/>
              <w:rPr>
                <w:rFonts w:ascii="Times New Roman" w:eastAsia="Times New Roman" w:hAnsi="Times New Roman" w:cs="Times New Roman"/>
                <w:color w:val="000000"/>
                <w:sz w:val="24"/>
                <w:szCs w:val="24"/>
              </w:rPr>
            </w:pPr>
            <w:r w:rsidRPr="00E64A21">
              <w:rPr>
                <w:rFonts w:ascii="Times New Roman" w:eastAsia="Times New Roman" w:hAnsi="Times New Roman" w:cs="Times New Roman"/>
                <w:color w:val="000000"/>
                <w:sz w:val="24"/>
                <w:szCs w:val="24"/>
              </w:rPr>
              <w:t>Anketa e Kushtimit në Nd</w:t>
            </w:r>
            <w:r w:rsidR="000E1EF3" w:rsidRPr="00E64A21">
              <w:rPr>
                <w:rFonts w:ascii="Times New Roman" w:eastAsia="Times New Roman" w:hAnsi="Times New Roman" w:cs="Times New Roman"/>
                <w:color w:val="000000"/>
                <w:sz w:val="24"/>
                <w:szCs w:val="24"/>
              </w:rPr>
              <w:t>ërtim për shpenzimet materiale;</w:t>
            </w:r>
          </w:p>
          <w:p w:rsidR="00E64A21" w:rsidRDefault="00236A38" w:rsidP="00E64A21">
            <w:pPr>
              <w:pStyle w:val="ListParagraph"/>
              <w:numPr>
                <w:ilvl w:val="0"/>
                <w:numId w:val="8"/>
              </w:numPr>
              <w:spacing w:after="0" w:line="240" w:lineRule="auto"/>
              <w:ind w:right="86"/>
              <w:jc w:val="both"/>
              <w:rPr>
                <w:rFonts w:ascii="Times New Roman" w:eastAsia="Times New Roman" w:hAnsi="Times New Roman" w:cs="Times New Roman"/>
                <w:color w:val="000000"/>
                <w:sz w:val="24"/>
                <w:szCs w:val="24"/>
              </w:rPr>
            </w:pPr>
            <w:r w:rsidRPr="00E64A21">
              <w:rPr>
                <w:rFonts w:ascii="Times New Roman" w:eastAsia="Times New Roman" w:hAnsi="Times New Roman" w:cs="Times New Roman"/>
                <w:color w:val="000000"/>
                <w:sz w:val="24"/>
                <w:szCs w:val="24"/>
              </w:rPr>
              <w:t xml:space="preserve">Anketa tremujore e ndërmarrjeve (modulari 122) informacion për makineritë, transportin dhe shpenzimet e pagave; </w:t>
            </w:r>
          </w:p>
          <w:p w:rsidR="00E64A21" w:rsidRDefault="000E1EF3" w:rsidP="00E64A21">
            <w:pPr>
              <w:pStyle w:val="ListParagraph"/>
              <w:numPr>
                <w:ilvl w:val="0"/>
                <w:numId w:val="8"/>
              </w:numPr>
              <w:spacing w:after="0" w:line="240" w:lineRule="auto"/>
              <w:ind w:right="86"/>
              <w:jc w:val="both"/>
              <w:rPr>
                <w:rFonts w:ascii="Times New Roman" w:eastAsia="Times New Roman" w:hAnsi="Times New Roman" w:cs="Times New Roman"/>
                <w:color w:val="000000"/>
                <w:sz w:val="24"/>
                <w:szCs w:val="24"/>
              </w:rPr>
            </w:pPr>
            <w:r w:rsidRPr="00E64A21">
              <w:rPr>
                <w:rFonts w:ascii="Times New Roman" w:eastAsia="Times New Roman" w:hAnsi="Times New Roman" w:cs="Times New Roman"/>
                <w:color w:val="000000"/>
                <w:sz w:val="24"/>
                <w:szCs w:val="24"/>
              </w:rPr>
              <w:t xml:space="preserve"> </w:t>
            </w:r>
            <w:r w:rsidR="00236A38" w:rsidRPr="00E64A21">
              <w:rPr>
                <w:rFonts w:ascii="Times New Roman" w:eastAsia="Times New Roman" w:hAnsi="Times New Roman" w:cs="Times New Roman"/>
                <w:color w:val="000000"/>
                <w:sz w:val="24"/>
                <w:szCs w:val="24"/>
              </w:rPr>
              <w:t xml:space="preserve">Indeksi i Çmimeve të Prodhimit (shpenzimet e energjisë) </w:t>
            </w:r>
          </w:p>
          <w:p w:rsidR="00E64A21" w:rsidRPr="00E64A21" w:rsidRDefault="000E1EF3" w:rsidP="004A0487">
            <w:pPr>
              <w:pStyle w:val="ListParagraph"/>
              <w:numPr>
                <w:ilvl w:val="0"/>
                <w:numId w:val="8"/>
              </w:numPr>
              <w:spacing w:line="240" w:lineRule="auto"/>
              <w:ind w:right="86"/>
              <w:jc w:val="both"/>
              <w:rPr>
                <w:rFonts w:ascii="Times New Roman" w:eastAsia="Times New Roman" w:hAnsi="Times New Roman" w:cs="Times New Roman"/>
                <w:color w:val="000000"/>
                <w:sz w:val="24"/>
                <w:szCs w:val="24"/>
              </w:rPr>
            </w:pPr>
            <w:r w:rsidRPr="00E64A21">
              <w:rPr>
                <w:rFonts w:ascii="Times New Roman" w:eastAsia="Times New Roman" w:hAnsi="Times New Roman" w:cs="Times New Roman"/>
                <w:color w:val="000000"/>
                <w:sz w:val="24"/>
                <w:szCs w:val="24"/>
              </w:rPr>
              <w:lastRenderedPageBreak/>
              <w:t xml:space="preserve"> </w:t>
            </w:r>
            <w:r w:rsidR="00236A38" w:rsidRPr="00E64A21">
              <w:rPr>
                <w:rFonts w:ascii="Times New Roman" w:eastAsia="Times New Roman" w:hAnsi="Times New Roman" w:cs="Times New Roman"/>
                <w:color w:val="000000"/>
                <w:sz w:val="24"/>
                <w:szCs w:val="24"/>
              </w:rPr>
              <w:t xml:space="preserve">IÇK (shpenzimet e tjera). </w:t>
            </w:r>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lastRenderedPageBreak/>
              <w:t>18.2. Shpeshtësia e grumbullimit të të dhënave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8F21CC">
            <w:pPr>
              <w:spacing w:before="20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Të dhënat mblidhen çdo tremujor. </w:t>
            </w:r>
          </w:p>
        </w:tc>
      </w:tr>
      <w:tr w:rsidR="00236A38" w:rsidRPr="00236A38" w:rsidTr="003D5A7C">
        <w:trPr>
          <w:trHeight w:val="562"/>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18.3. Grumbullimi i të dhënave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7A47F4">
            <w:pPr>
              <w:spacing w:before="20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Grumbullimi i të dhënave realizohet nëpërmjet Anketës së Kushtimit në Ndërtim (për banesa). Mbledhja e rregullt e të dhënave të çmimeve normalisht rrjedh nga një kampion i njësive statistikore. Plotësimi i informacionit realizohet me intervistim të drejtpërdrejt nga anketuesit me personin e kontaktit të ndërmarrjes, i cili është ngarkuar për të deklaruar të dhënat</w:t>
            </w:r>
            <w:r w:rsidR="00912900">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18.4. Vlefshmëria e të dhënave</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071A34">
            <w:pPr>
              <w:spacing w:before="200" w:line="240" w:lineRule="auto"/>
              <w:ind w:left="101" w:right="86"/>
              <w:jc w:val="both"/>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Verifikimi i çmimeve: çmimet e mbledhura krahasohen me trendin e tyre historik, ndryshimet e çmimeve për produkte të ngjashme dhe njohuri të tjera të fituara nga analistët; ndryshimet e konsiderueshme të çmimeve verifikohen me njësinë raportuese. Në INSTAT, çmimet kontrollohen në pyetësor, gjatë procesit të hedhjes së të dhënave dhe me telefon në rastet kur pyetësori nuk është plotësuar si duhet</w:t>
            </w:r>
            <w:r w:rsidR="00514468">
              <w:rPr>
                <w:rFonts w:ascii="Times New Roman" w:eastAsia="Times New Roman" w:hAnsi="Times New Roman" w:cs="Times New Roman"/>
                <w:color w:val="000000"/>
                <w:sz w:val="24"/>
                <w:szCs w:val="24"/>
              </w:rPr>
              <w:t>.</w:t>
            </w:r>
            <w:r w:rsidRPr="00236A38">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18.5. Përpilimi i të dhënave </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4933" w:rsidRDefault="00236A38" w:rsidP="00071A34">
            <w:pPr>
              <w:spacing w:before="200"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 xml:space="preserve">Në nivel kombëtar </w:t>
            </w:r>
          </w:p>
          <w:p w:rsidR="0001477F" w:rsidRDefault="00236A38" w:rsidP="00144933">
            <w:pPr>
              <w:spacing w:after="0" w:line="240" w:lineRule="auto"/>
              <w:ind w:left="101" w:right="86"/>
              <w:jc w:val="both"/>
              <w:rPr>
                <w:rFonts w:ascii="Times New Roman" w:eastAsia="Times New Roman" w:hAnsi="Times New Roman" w:cs="Times New Roman"/>
                <w:color w:val="000000"/>
                <w:sz w:val="24"/>
                <w:szCs w:val="24"/>
              </w:rPr>
            </w:pPr>
            <w:r w:rsidRPr="00236A38">
              <w:rPr>
                <w:rFonts w:ascii="Times New Roman" w:eastAsia="Times New Roman" w:hAnsi="Times New Roman" w:cs="Times New Roman"/>
                <w:color w:val="000000"/>
                <w:sz w:val="24"/>
                <w:szCs w:val="24"/>
              </w:rPr>
              <w:t>Hapi i parë është mbledhja e informacionit nga intervistuesit. Qëllimi është sjellja e këtij inf</w:t>
            </w:r>
            <w:r w:rsidR="00980CE4">
              <w:rPr>
                <w:rFonts w:ascii="Times New Roman" w:eastAsia="Times New Roman" w:hAnsi="Times New Roman" w:cs="Times New Roman"/>
                <w:color w:val="000000"/>
                <w:sz w:val="24"/>
                <w:szCs w:val="24"/>
              </w:rPr>
              <w:t>ormacioni në nivel statistikor.</w:t>
            </w:r>
            <w:r w:rsidR="0033273C">
              <w:rPr>
                <w:rFonts w:ascii="Times New Roman" w:eastAsia="Times New Roman" w:hAnsi="Times New Roman" w:cs="Times New Roman"/>
                <w:color w:val="000000"/>
                <w:sz w:val="24"/>
                <w:szCs w:val="24"/>
              </w:rPr>
              <w:t xml:space="preserve"> </w:t>
            </w:r>
            <w:r w:rsidRPr="00236A38">
              <w:rPr>
                <w:rFonts w:ascii="Times New Roman" w:eastAsia="Times New Roman" w:hAnsi="Times New Roman" w:cs="Times New Roman"/>
                <w:color w:val="000000"/>
                <w:sz w:val="24"/>
                <w:szCs w:val="24"/>
              </w:rPr>
              <w:t xml:space="preserve">Ky proces vijon si më poshtë: </w:t>
            </w:r>
          </w:p>
          <w:p w:rsidR="0001477F" w:rsidRPr="0033273C" w:rsidRDefault="00236A38" w:rsidP="0033273C">
            <w:pPr>
              <w:pStyle w:val="ListParagraph"/>
              <w:numPr>
                <w:ilvl w:val="0"/>
                <w:numId w:val="4"/>
              </w:numPr>
              <w:spacing w:after="0" w:line="240" w:lineRule="auto"/>
              <w:ind w:right="86"/>
              <w:jc w:val="both"/>
              <w:rPr>
                <w:rFonts w:ascii="Times New Roman" w:eastAsia="Times New Roman" w:hAnsi="Times New Roman" w:cs="Times New Roman"/>
                <w:color w:val="000000"/>
                <w:sz w:val="24"/>
                <w:szCs w:val="24"/>
              </w:rPr>
            </w:pPr>
            <w:r w:rsidRPr="0033273C">
              <w:rPr>
                <w:rFonts w:ascii="Times New Roman" w:eastAsia="Times New Roman" w:hAnsi="Times New Roman" w:cs="Times New Roman"/>
                <w:color w:val="000000"/>
                <w:sz w:val="24"/>
                <w:szCs w:val="24"/>
              </w:rPr>
              <w:t xml:space="preserve">Kontrolli fizik i pyetësorëve </w:t>
            </w:r>
          </w:p>
          <w:p w:rsidR="0001477F" w:rsidRPr="0033273C" w:rsidRDefault="00236A38" w:rsidP="0033273C">
            <w:pPr>
              <w:pStyle w:val="ListParagraph"/>
              <w:numPr>
                <w:ilvl w:val="0"/>
                <w:numId w:val="4"/>
              </w:numPr>
              <w:spacing w:after="0" w:line="240" w:lineRule="auto"/>
              <w:ind w:right="86"/>
              <w:jc w:val="both"/>
              <w:rPr>
                <w:rFonts w:ascii="Times New Roman" w:eastAsia="Times New Roman" w:hAnsi="Times New Roman" w:cs="Times New Roman"/>
                <w:color w:val="000000"/>
                <w:sz w:val="24"/>
                <w:szCs w:val="24"/>
              </w:rPr>
            </w:pPr>
            <w:r w:rsidRPr="0033273C">
              <w:rPr>
                <w:rFonts w:ascii="Times New Roman" w:eastAsia="Times New Roman" w:hAnsi="Times New Roman" w:cs="Times New Roman"/>
                <w:color w:val="000000"/>
                <w:sz w:val="24"/>
                <w:szCs w:val="24"/>
              </w:rPr>
              <w:t xml:space="preserve">Kontrolli logjik i pyetësorëve (kontrollin e indikatorëve, përshkrimin dhe Kodifikimin e aktivitetit, dhe kontrollin e vlerave të sakta.) </w:t>
            </w:r>
          </w:p>
          <w:p w:rsidR="0001477F" w:rsidRPr="0033273C" w:rsidRDefault="00236A38" w:rsidP="0033273C">
            <w:pPr>
              <w:pStyle w:val="ListParagraph"/>
              <w:numPr>
                <w:ilvl w:val="0"/>
                <w:numId w:val="4"/>
              </w:numPr>
              <w:spacing w:after="0" w:line="240" w:lineRule="auto"/>
              <w:ind w:right="86"/>
              <w:jc w:val="both"/>
              <w:rPr>
                <w:rFonts w:ascii="Times New Roman" w:eastAsia="Times New Roman" w:hAnsi="Times New Roman" w:cs="Times New Roman"/>
                <w:color w:val="000000"/>
                <w:sz w:val="24"/>
                <w:szCs w:val="24"/>
              </w:rPr>
            </w:pPr>
            <w:r w:rsidRPr="0033273C">
              <w:rPr>
                <w:rFonts w:ascii="Times New Roman" w:eastAsia="Times New Roman" w:hAnsi="Times New Roman" w:cs="Times New Roman"/>
                <w:color w:val="000000"/>
                <w:sz w:val="24"/>
                <w:szCs w:val="24"/>
              </w:rPr>
              <w:t xml:space="preserve">Procesi i editimit të të dhënave të mbledhura (gabimet dhe modifikimet) </w:t>
            </w:r>
          </w:p>
          <w:p w:rsidR="0001477F" w:rsidRPr="0033273C" w:rsidRDefault="00236A38" w:rsidP="0033273C">
            <w:pPr>
              <w:pStyle w:val="ListParagraph"/>
              <w:numPr>
                <w:ilvl w:val="0"/>
                <w:numId w:val="4"/>
              </w:numPr>
              <w:spacing w:after="0" w:line="240" w:lineRule="auto"/>
              <w:ind w:right="86"/>
              <w:jc w:val="both"/>
              <w:rPr>
                <w:rFonts w:ascii="Times New Roman" w:eastAsia="Times New Roman" w:hAnsi="Times New Roman" w:cs="Times New Roman"/>
                <w:color w:val="000000"/>
                <w:sz w:val="24"/>
                <w:szCs w:val="24"/>
              </w:rPr>
            </w:pPr>
            <w:r w:rsidRPr="0033273C">
              <w:rPr>
                <w:rFonts w:ascii="Times New Roman" w:eastAsia="Times New Roman" w:hAnsi="Times New Roman" w:cs="Times New Roman"/>
                <w:color w:val="000000"/>
                <w:sz w:val="24"/>
                <w:szCs w:val="24"/>
              </w:rPr>
              <w:t>Njësitë që refuzojnë dhe informacioni që mungon duhet të plotësohet përmes procesit të imputimit.</w:t>
            </w:r>
          </w:p>
          <w:p w:rsidR="0001477F" w:rsidRPr="0033273C" w:rsidRDefault="00236A38" w:rsidP="0033273C">
            <w:pPr>
              <w:pStyle w:val="ListParagraph"/>
              <w:numPr>
                <w:ilvl w:val="0"/>
                <w:numId w:val="4"/>
              </w:numPr>
              <w:spacing w:after="0" w:line="240" w:lineRule="auto"/>
              <w:ind w:right="86"/>
              <w:jc w:val="both"/>
              <w:rPr>
                <w:rFonts w:ascii="Times New Roman" w:eastAsia="Times New Roman" w:hAnsi="Times New Roman" w:cs="Times New Roman"/>
                <w:color w:val="000000"/>
                <w:sz w:val="24"/>
                <w:szCs w:val="24"/>
              </w:rPr>
            </w:pPr>
            <w:r w:rsidRPr="0033273C">
              <w:rPr>
                <w:rFonts w:ascii="Times New Roman" w:eastAsia="Times New Roman" w:hAnsi="Times New Roman" w:cs="Times New Roman"/>
                <w:color w:val="000000"/>
                <w:sz w:val="24"/>
                <w:szCs w:val="24"/>
              </w:rPr>
              <w:t xml:space="preserve">Indekset e Laspeyres </w:t>
            </w:r>
          </w:p>
          <w:p w:rsidR="00236A38" w:rsidRPr="0033273C" w:rsidRDefault="00236A38" w:rsidP="0033273C">
            <w:pPr>
              <w:pStyle w:val="ListParagraph"/>
              <w:numPr>
                <w:ilvl w:val="0"/>
                <w:numId w:val="4"/>
              </w:numPr>
              <w:spacing w:after="240" w:line="240" w:lineRule="auto"/>
              <w:ind w:right="86"/>
              <w:jc w:val="both"/>
              <w:rPr>
                <w:rFonts w:ascii="Times New Roman" w:eastAsia="Times New Roman" w:hAnsi="Times New Roman" w:cs="Times New Roman"/>
                <w:sz w:val="24"/>
                <w:szCs w:val="24"/>
              </w:rPr>
            </w:pPr>
            <w:r w:rsidRPr="0033273C">
              <w:rPr>
                <w:rFonts w:ascii="Times New Roman" w:eastAsia="Times New Roman" w:hAnsi="Times New Roman" w:cs="Times New Roman"/>
                <w:color w:val="000000"/>
                <w:sz w:val="24"/>
                <w:szCs w:val="24"/>
              </w:rPr>
              <w:t>Analiza e rezultateve sipas çdo domeni të publikimit</w:t>
            </w:r>
            <w:r w:rsidR="00045568">
              <w:rPr>
                <w:rFonts w:ascii="Times New Roman" w:eastAsia="Times New Roman" w:hAnsi="Times New Roman" w:cs="Times New Roman"/>
                <w:color w:val="000000"/>
                <w:sz w:val="24"/>
                <w:szCs w:val="24"/>
              </w:rPr>
              <w:t>.</w:t>
            </w:r>
            <w:r w:rsidRPr="0033273C">
              <w:rPr>
                <w:rFonts w:ascii="Times New Roman" w:eastAsia="Times New Roman" w:hAnsi="Times New Roman" w:cs="Times New Roman"/>
                <w:color w:val="000000"/>
                <w:sz w:val="24"/>
                <w:szCs w:val="24"/>
              </w:rPr>
              <w:t xml:space="preserve"> </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18.6. Rregullimi</w:t>
            </w:r>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D95728" w:rsidRDefault="00236A38" w:rsidP="00FB0BDE">
            <w:pPr>
              <w:spacing w:before="100" w:beforeAutospacing="1" w:after="0" w:line="240" w:lineRule="auto"/>
              <w:rPr>
                <w:rFonts w:ascii="Times New Roman" w:eastAsia="Times New Roman" w:hAnsi="Times New Roman" w:cs="Times New Roman"/>
                <w:sz w:val="24"/>
                <w:szCs w:val="24"/>
              </w:rPr>
            </w:pPr>
            <w:r w:rsidRPr="00236A38">
              <w:rPr>
                <w:rFonts w:ascii="Times New Roman" w:eastAsia="Times New Roman" w:hAnsi="Times New Roman" w:cs="Times New Roman"/>
                <w:color w:val="000000"/>
                <w:sz w:val="24"/>
                <w:szCs w:val="24"/>
              </w:rPr>
              <w:t xml:space="preserve">  </w:t>
            </w:r>
            <w:r w:rsidR="00FB0BDE">
              <w:rPr>
                <w:rFonts w:ascii="Times New Roman" w:eastAsia="Times New Roman" w:hAnsi="Times New Roman" w:cs="Times New Roman"/>
                <w:color w:val="000000"/>
                <w:sz w:val="24"/>
                <w:szCs w:val="24"/>
              </w:rPr>
              <w:t xml:space="preserve">Nuk aplikohet. </w:t>
            </w:r>
            <w:r w:rsidRPr="00236A38">
              <w:rPr>
                <w:rFonts w:ascii="Times New Roman" w:eastAsia="Times New Roman" w:hAnsi="Times New Roman" w:cs="Times New Roman"/>
                <w:color w:val="000000"/>
                <w:sz w:val="24"/>
                <w:szCs w:val="24"/>
              </w:rPr>
              <w:t> </w:t>
            </w:r>
            <w:r w:rsidR="00D95728" w:rsidRPr="00D95728">
              <w:rPr>
                <w:rFonts w:ascii="Times New Roman" w:hAnsi="Times New Roman" w:cs="Times New Roman"/>
                <w:sz w:val="24"/>
                <w:szCs w:val="24"/>
              </w:rPr>
              <w:t>Të dhënat nuk janë të përshtatura sezonalisht.</w:t>
            </w:r>
          </w:p>
        </w:tc>
      </w:tr>
      <w:tr w:rsidR="00236A38" w:rsidRPr="00236A38" w:rsidTr="003D5A7C">
        <w:trPr>
          <w:trHeight w:val="567"/>
        </w:trPr>
        <w:tc>
          <w:tcPr>
            <w:tcW w:w="2744"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37" w:name="_Toc474418824"/>
            <w:bookmarkStart w:id="38" w:name="_Toc67558945"/>
            <w:bookmarkEnd w:id="37"/>
            <w:r w:rsidRPr="00236A38">
              <w:rPr>
                <w:rFonts w:ascii="Times New Roman" w:eastAsia="Times New Roman" w:hAnsi="Times New Roman" w:cs="Times New Roman"/>
                <w:b/>
                <w:bCs/>
                <w:color w:val="000000"/>
                <w:kern w:val="36"/>
                <w:sz w:val="24"/>
                <w:szCs w:val="24"/>
              </w:rPr>
              <w:t>19. Komente</w:t>
            </w:r>
            <w:bookmarkEnd w:id="38"/>
          </w:p>
        </w:tc>
        <w:tc>
          <w:tcPr>
            <w:tcW w:w="7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236A38">
            <w:pPr>
              <w:spacing w:after="0" w:line="240" w:lineRule="auto"/>
              <w:rPr>
                <w:rFonts w:ascii="Times New Roman" w:eastAsia="Times New Roman" w:hAnsi="Times New Roman" w:cs="Times New Roman"/>
                <w:sz w:val="24"/>
                <w:szCs w:val="24"/>
              </w:rPr>
            </w:pPr>
          </w:p>
        </w:tc>
      </w:tr>
      <w:tr w:rsidR="00236A38" w:rsidRPr="00236A38" w:rsidTr="003D5A7C">
        <w:trPr>
          <w:trHeight w:val="567"/>
        </w:trPr>
        <w:tc>
          <w:tcPr>
            <w:tcW w:w="1026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236A38" w:rsidRPr="00236A38" w:rsidRDefault="00236A38" w:rsidP="00236A38">
            <w:pPr>
              <w:spacing w:after="100" w:afterAutospacing="1" w:line="240" w:lineRule="auto"/>
              <w:outlineLvl w:val="0"/>
              <w:rPr>
                <w:rFonts w:ascii="Times New Roman" w:eastAsia="Times New Roman" w:hAnsi="Times New Roman" w:cs="Times New Roman"/>
                <w:b/>
                <w:bCs/>
                <w:kern w:val="36"/>
                <w:sz w:val="48"/>
                <w:szCs w:val="48"/>
              </w:rPr>
            </w:pPr>
            <w:bookmarkStart w:id="39" w:name="_Toc474418825"/>
            <w:bookmarkStart w:id="40" w:name="_Toc67558946"/>
            <w:bookmarkEnd w:id="39"/>
            <w:r w:rsidRPr="00236A38">
              <w:rPr>
                <w:rFonts w:ascii="Times New Roman" w:eastAsia="Times New Roman" w:hAnsi="Times New Roman" w:cs="Times New Roman"/>
                <w:b/>
                <w:bCs/>
                <w:color w:val="000000"/>
                <w:kern w:val="36"/>
                <w:sz w:val="24"/>
                <w:szCs w:val="24"/>
              </w:rPr>
              <w:t>Aneks</w:t>
            </w:r>
            <w:bookmarkEnd w:id="40"/>
          </w:p>
        </w:tc>
      </w:tr>
      <w:tr w:rsidR="00236A38" w:rsidRPr="00236A38" w:rsidTr="003D5A7C">
        <w:trPr>
          <w:trHeight w:val="457"/>
        </w:trPr>
        <w:tc>
          <w:tcPr>
            <w:tcW w:w="102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A38" w:rsidRPr="00236A38" w:rsidRDefault="00236A38" w:rsidP="00236A38">
            <w:pPr>
              <w:spacing w:before="100" w:beforeAutospacing="1" w:after="0" w:line="240" w:lineRule="auto"/>
              <w:rPr>
                <w:rFonts w:ascii="Times New Roman" w:eastAsia="Times New Roman" w:hAnsi="Times New Roman" w:cs="Times New Roman"/>
                <w:sz w:val="24"/>
                <w:szCs w:val="24"/>
              </w:rPr>
            </w:pPr>
          </w:p>
        </w:tc>
      </w:tr>
    </w:tbl>
    <w:p w:rsidR="007858CE" w:rsidRDefault="007858CE" w:rsidP="00071A34"/>
    <w:sectPr w:rsidR="007858CE" w:rsidSect="007331B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D56" w:rsidRDefault="00265D56" w:rsidP="000A1D5E">
      <w:pPr>
        <w:spacing w:after="0" w:line="240" w:lineRule="auto"/>
      </w:pPr>
      <w:r>
        <w:separator/>
      </w:r>
    </w:p>
  </w:endnote>
  <w:endnote w:type="continuationSeparator" w:id="0">
    <w:p w:rsidR="00265D56" w:rsidRDefault="00265D56" w:rsidP="000A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410333"/>
      <w:docPartObj>
        <w:docPartGallery w:val="Page Numbers (Bottom of Page)"/>
        <w:docPartUnique/>
      </w:docPartObj>
    </w:sdtPr>
    <w:sdtEndPr>
      <w:rPr>
        <w:noProof/>
      </w:rPr>
    </w:sdtEndPr>
    <w:sdtContent>
      <w:p w:rsidR="000A1D5E" w:rsidRDefault="00A72699">
        <w:pPr>
          <w:pStyle w:val="Footer"/>
          <w:jc w:val="right"/>
        </w:pPr>
        <w:r>
          <w:fldChar w:fldCharType="begin"/>
        </w:r>
        <w:r w:rsidR="000A1D5E">
          <w:instrText xml:space="preserve"> PAGE   \* MERGEFORMAT </w:instrText>
        </w:r>
        <w:r>
          <w:fldChar w:fldCharType="separate"/>
        </w:r>
        <w:r w:rsidR="00626E1C">
          <w:rPr>
            <w:noProof/>
          </w:rPr>
          <w:t>10</w:t>
        </w:r>
        <w:r>
          <w:rPr>
            <w:noProof/>
          </w:rPr>
          <w:fldChar w:fldCharType="end"/>
        </w:r>
      </w:p>
    </w:sdtContent>
  </w:sdt>
  <w:p w:rsidR="000A1D5E" w:rsidRDefault="000A1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D56" w:rsidRDefault="00265D56" w:rsidP="000A1D5E">
      <w:pPr>
        <w:spacing w:after="0" w:line="240" w:lineRule="auto"/>
      </w:pPr>
      <w:r>
        <w:separator/>
      </w:r>
    </w:p>
  </w:footnote>
  <w:footnote w:type="continuationSeparator" w:id="0">
    <w:p w:rsidR="00265D56" w:rsidRDefault="00265D56" w:rsidP="000A1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7F37"/>
    <w:multiLevelType w:val="hybridMultilevel"/>
    <w:tmpl w:val="4CEC6F9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nsid w:val="1F8F5E21"/>
    <w:multiLevelType w:val="hybridMultilevel"/>
    <w:tmpl w:val="4F40E05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24C14643"/>
    <w:multiLevelType w:val="multilevel"/>
    <w:tmpl w:val="72B4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8B3B39"/>
    <w:multiLevelType w:val="hybridMultilevel"/>
    <w:tmpl w:val="2A2AFA42"/>
    <w:lvl w:ilvl="0" w:tplc="2DA2FF92">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
    <w:nsid w:val="323B3904"/>
    <w:multiLevelType w:val="hybridMultilevel"/>
    <w:tmpl w:val="0D524C8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3A575ADE"/>
    <w:multiLevelType w:val="hybridMultilevel"/>
    <w:tmpl w:val="5A3AE2F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nsid w:val="651057EF"/>
    <w:multiLevelType w:val="hybridMultilevel"/>
    <w:tmpl w:val="CA42FAE8"/>
    <w:lvl w:ilvl="0" w:tplc="04090001">
      <w:start w:val="1"/>
      <w:numFmt w:val="bullet"/>
      <w:lvlText w:val=""/>
      <w:lvlJc w:val="left"/>
      <w:pPr>
        <w:ind w:left="720" w:hanging="360"/>
      </w:pPr>
      <w:rPr>
        <w:rFonts w:ascii="Symbol" w:hAnsi="Symbol" w:hint="default"/>
      </w:rPr>
    </w:lvl>
    <w:lvl w:ilvl="1" w:tplc="D2BAA6E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3336FC"/>
    <w:multiLevelType w:val="hybridMultilevel"/>
    <w:tmpl w:val="5ADE664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nsid w:val="717D158F"/>
    <w:multiLevelType w:val="multilevel"/>
    <w:tmpl w:val="615C83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6"/>
  </w:num>
  <w:num w:numId="5">
    <w:abstractNumId w:val="5"/>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6A38"/>
    <w:rsid w:val="000101B9"/>
    <w:rsid w:val="0001477F"/>
    <w:rsid w:val="00025B1B"/>
    <w:rsid w:val="00045568"/>
    <w:rsid w:val="000506C1"/>
    <w:rsid w:val="00071A34"/>
    <w:rsid w:val="00077815"/>
    <w:rsid w:val="00082806"/>
    <w:rsid w:val="00095752"/>
    <w:rsid w:val="000A1D5E"/>
    <w:rsid w:val="000A7C51"/>
    <w:rsid w:val="000B182F"/>
    <w:rsid w:val="000B57B7"/>
    <w:rsid w:val="000C1259"/>
    <w:rsid w:val="000E1EF3"/>
    <w:rsid w:val="000E7CC9"/>
    <w:rsid w:val="000F386D"/>
    <w:rsid w:val="000F409A"/>
    <w:rsid w:val="00135844"/>
    <w:rsid w:val="00144933"/>
    <w:rsid w:val="00182BC8"/>
    <w:rsid w:val="001870CE"/>
    <w:rsid w:val="001A2A8F"/>
    <w:rsid w:val="001C6C33"/>
    <w:rsid w:val="0023568E"/>
    <w:rsid w:val="00236A38"/>
    <w:rsid w:val="00255966"/>
    <w:rsid w:val="002653A6"/>
    <w:rsid w:val="00265D56"/>
    <w:rsid w:val="002735D2"/>
    <w:rsid w:val="00282A63"/>
    <w:rsid w:val="00284D5B"/>
    <w:rsid w:val="00290DFE"/>
    <w:rsid w:val="002B39FD"/>
    <w:rsid w:val="002B53D9"/>
    <w:rsid w:val="002E1CC5"/>
    <w:rsid w:val="003040B2"/>
    <w:rsid w:val="00321B2E"/>
    <w:rsid w:val="0033273C"/>
    <w:rsid w:val="00336DBB"/>
    <w:rsid w:val="003625A6"/>
    <w:rsid w:val="003B2037"/>
    <w:rsid w:val="003C0DD2"/>
    <w:rsid w:val="003C4346"/>
    <w:rsid w:val="003D5A7C"/>
    <w:rsid w:val="003F163D"/>
    <w:rsid w:val="003F3755"/>
    <w:rsid w:val="00437EB4"/>
    <w:rsid w:val="00440958"/>
    <w:rsid w:val="00440E03"/>
    <w:rsid w:val="00453DEB"/>
    <w:rsid w:val="0048533A"/>
    <w:rsid w:val="004A0487"/>
    <w:rsid w:val="004B5982"/>
    <w:rsid w:val="00514468"/>
    <w:rsid w:val="00514CA4"/>
    <w:rsid w:val="005258CD"/>
    <w:rsid w:val="0054162C"/>
    <w:rsid w:val="00547871"/>
    <w:rsid w:val="00570E3E"/>
    <w:rsid w:val="00584EF5"/>
    <w:rsid w:val="005A04FF"/>
    <w:rsid w:val="005D5E23"/>
    <w:rsid w:val="005E03FC"/>
    <w:rsid w:val="005E0728"/>
    <w:rsid w:val="005E6D49"/>
    <w:rsid w:val="00622141"/>
    <w:rsid w:val="00622563"/>
    <w:rsid w:val="00626E1C"/>
    <w:rsid w:val="00627119"/>
    <w:rsid w:val="006409B9"/>
    <w:rsid w:val="00642E48"/>
    <w:rsid w:val="00643D06"/>
    <w:rsid w:val="00657A7A"/>
    <w:rsid w:val="006716C5"/>
    <w:rsid w:val="00692DB8"/>
    <w:rsid w:val="00693C76"/>
    <w:rsid w:val="006C3816"/>
    <w:rsid w:val="006E597C"/>
    <w:rsid w:val="007331B5"/>
    <w:rsid w:val="007858CE"/>
    <w:rsid w:val="00794DCD"/>
    <w:rsid w:val="007A196F"/>
    <w:rsid w:val="007A47F4"/>
    <w:rsid w:val="007A6A0F"/>
    <w:rsid w:val="007D7309"/>
    <w:rsid w:val="007E4A2F"/>
    <w:rsid w:val="007F280E"/>
    <w:rsid w:val="00805D46"/>
    <w:rsid w:val="008079A8"/>
    <w:rsid w:val="00820A1F"/>
    <w:rsid w:val="008435FA"/>
    <w:rsid w:val="008454E2"/>
    <w:rsid w:val="008539A1"/>
    <w:rsid w:val="0086019B"/>
    <w:rsid w:val="008665BF"/>
    <w:rsid w:val="0086793A"/>
    <w:rsid w:val="00877E12"/>
    <w:rsid w:val="008A62B0"/>
    <w:rsid w:val="008C55A7"/>
    <w:rsid w:val="008E2226"/>
    <w:rsid w:val="008F21CC"/>
    <w:rsid w:val="009060F5"/>
    <w:rsid w:val="00912900"/>
    <w:rsid w:val="009129C8"/>
    <w:rsid w:val="00927445"/>
    <w:rsid w:val="009414A7"/>
    <w:rsid w:val="009420DC"/>
    <w:rsid w:val="00960FAF"/>
    <w:rsid w:val="009732ED"/>
    <w:rsid w:val="00980CE4"/>
    <w:rsid w:val="009C488C"/>
    <w:rsid w:val="009D22A1"/>
    <w:rsid w:val="00A01BD5"/>
    <w:rsid w:val="00A06D35"/>
    <w:rsid w:val="00A45B89"/>
    <w:rsid w:val="00A5752D"/>
    <w:rsid w:val="00A72699"/>
    <w:rsid w:val="00A86CAB"/>
    <w:rsid w:val="00A86CBF"/>
    <w:rsid w:val="00AA2E52"/>
    <w:rsid w:val="00AC2108"/>
    <w:rsid w:val="00AF46E8"/>
    <w:rsid w:val="00B1169D"/>
    <w:rsid w:val="00B50DE6"/>
    <w:rsid w:val="00B74C47"/>
    <w:rsid w:val="00B76D81"/>
    <w:rsid w:val="00BA046A"/>
    <w:rsid w:val="00BA1E79"/>
    <w:rsid w:val="00BC764D"/>
    <w:rsid w:val="00BD452E"/>
    <w:rsid w:val="00C11FF7"/>
    <w:rsid w:val="00C26AA9"/>
    <w:rsid w:val="00C345A6"/>
    <w:rsid w:val="00C52A06"/>
    <w:rsid w:val="00CB0ED4"/>
    <w:rsid w:val="00CB5901"/>
    <w:rsid w:val="00CD6D7F"/>
    <w:rsid w:val="00CE21D0"/>
    <w:rsid w:val="00D378A6"/>
    <w:rsid w:val="00D50E7A"/>
    <w:rsid w:val="00D95728"/>
    <w:rsid w:val="00E23C79"/>
    <w:rsid w:val="00E26F95"/>
    <w:rsid w:val="00E36EC6"/>
    <w:rsid w:val="00E41218"/>
    <w:rsid w:val="00E558E3"/>
    <w:rsid w:val="00E64A21"/>
    <w:rsid w:val="00EB7267"/>
    <w:rsid w:val="00EF0FB5"/>
    <w:rsid w:val="00F12E0E"/>
    <w:rsid w:val="00F15BDD"/>
    <w:rsid w:val="00F528AB"/>
    <w:rsid w:val="00F66FE7"/>
    <w:rsid w:val="00F7294C"/>
    <w:rsid w:val="00F86037"/>
    <w:rsid w:val="00FA5662"/>
    <w:rsid w:val="00FB0BDE"/>
    <w:rsid w:val="00FF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u w:color="000000" w:themeColor="text1"/>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rPr>
      <w:rFonts w:asciiTheme="minorHAnsi" w:hAnsiTheme="minorHAnsi" w:cstheme="minorBidi"/>
      <w:sz w:val="22"/>
      <w:szCs w:val="22"/>
    </w:r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styleId="Hyperlink">
    <w:name w:val="Hyperlink"/>
    <w:basedOn w:val="DefaultParagraphFont"/>
    <w:uiPriority w:val="99"/>
    <w:unhideWhenUsed/>
    <w:rsid w:val="00A5752D"/>
    <w:rPr>
      <w:color w:val="0000FF" w:themeColor="hyperlink"/>
      <w:u w:val="single"/>
    </w:rPr>
  </w:style>
  <w:style w:type="character" w:customStyle="1" w:styleId="InternetLink">
    <w:name w:val="Internet Link"/>
    <w:basedOn w:val="DefaultParagraphFont"/>
    <w:uiPriority w:val="99"/>
    <w:unhideWhenUsed/>
    <w:rsid w:val="000F409A"/>
    <w:rPr>
      <w:color w:val="0000FF"/>
      <w:u w:val="single"/>
    </w:rPr>
  </w:style>
  <w:style w:type="character" w:styleId="FollowedHyperlink">
    <w:name w:val="FollowedHyperlink"/>
    <w:basedOn w:val="DefaultParagraphFont"/>
    <w:uiPriority w:val="99"/>
    <w:semiHidden/>
    <w:unhideWhenUsed/>
    <w:rsid w:val="00453DEB"/>
    <w:rPr>
      <w:color w:val="800080" w:themeColor="followedHyperlink"/>
      <w:u w:val="single"/>
    </w:rPr>
  </w:style>
  <w:style w:type="paragraph" w:styleId="Header">
    <w:name w:val="header"/>
    <w:basedOn w:val="Normal"/>
    <w:link w:val="HeaderChar"/>
    <w:uiPriority w:val="99"/>
    <w:unhideWhenUsed/>
    <w:rsid w:val="000A1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5E"/>
    <w:rPr>
      <w:rFonts w:asciiTheme="minorHAnsi" w:hAnsiTheme="minorHAnsi" w:cstheme="minorBidi"/>
      <w:sz w:val="22"/>
      <w:szCs w:val="22"/>
    </w:rPr>
  </w:style>
  <w:style w:type="paragraph" w:styleId="Footer">
    <w:name w:val="footer"/>
    <w:basedOn w:val="Normal"/>
    <w:link w:val="FooterChar"/>
    <w:uiPriority w:val="99"/>
    <w:unhideWhenUsed/>
    <w:rsid w:val="000A1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5E"/>
    <w:rPr>
      <w:rFonts w:asciiTheme="minorHAnsi" w:hAnsiTheme="minorHAnsi" w:cstheme="minorBidi"/>
      <w:sz w:val="22"/>
      <w:szCs w:val="22"/>
    </w:rPr>
  </w:style>
  <w:style w:type="paragraph" w:styleId="TOC1">
    <w:name w:val="toc 1"/>
    <w:basedOn w:val="Normal"/>
    <w:next w:val="Normal"/>
    <w:autoRedefine/>
    <w:uiPriority w:val="39"/>
    <w:unhideWhenUsed/>
    <w:rsid w:val="00927445"/>
    <w:pPr>
      <w:spacing w:after="100"/>
    </w:pPr>
    <w:rPr>
      <w:rFonts w:eastAsiaTheme="minorEastAsia"/>
    </w:rPr>
  </w:style>
  <w:style w:type="paragraph" w:styleId="BalloonText">
    <w:name w:val="Balloon Text"/>
    <w:basedOn w:val="Normal"/>
    <w:link w:val="BalloonTextChar"/>
    <w:uiPriority w:val="99"/>
    <w:semiHidden/>
    <w:unhideWhenUsed/>
    <w:rsid w:val="00927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2392">
      <w:bodyDiv w:val="1"/>
      <w:marLeft w:val="0"/>
      <w:marRight w:val="0"/>
      <w:marTop w:val="0"/>
      <w:marBottom w:val="0"/>
      <w:divBdr>
        <w:top w:val="none" w:sz="0" w:space="0" w:color="auto"/>
        <w:left w:val="none" w:sz="0" w:space="0" w:color="auto"/>
        <w:bottom w:val="none" w:sz="0" w:space="0" w:color="auto"/>
        <w:right w:val="none" w:sz="0" w:space="0" w:color="auto"/>
      </w:divBdr>
    </w:div>
    <w:div w:id="761530538">
      <w:bodyDiv w:val="1"/>
      <w:marLeft w:val="0"/>
      <w:marRight w:val="0"/>
      <w:marTop w:val="0"/>
      <w:marBottom w:val="0"/>
      <w:divBdr>
        <w:top w:val="none" w:sz="0" w:space="0" w:color="auto"/>
        <w:left w:val="none" w:sz="0" w:space="0" w:color="auto"/>
        <w:bottom w:val="none" w:sz="0" w:space="0" w:color="auto"/>
        <w:right w:val="none" w:sz="0" w:space="0" w:color="auto"/>
      </w:divBdr>
    </w:div>
    <w:div w:id="1596405544">
      <w:bodyDiv w:val="1"/>
      <w:marLeft w:val="0"/>
      <w:marRight w:val="0"/>
      <w:marTop w:val="0"/>
      <w:marBottom w:val="0"/>
      <w:divBdr>
        <w:top w:val="none" w:sz="0" w:space="0" w:color="auto"/>
        <w:left w:val="none" w:sz="0" w:space="0" w:color="auto"/>
        <w:bottom w:val="none" w:sz="0" w:space="0" w:color="auto"/>
        <w:right w:val="none" w:sz="0" w:space="0" w:color="auto"/>
      </w:divBdr>
    </w:div>
    <w:div w:id="1656110420">
      <w:bodyDiv w:val="1"/>
      <w:marLeft w:val="0"/>
      <w:marRight w:val="0"/>
      <w:marTop w:val="0"/>
      <w:marBottom w:val="0"/>
      <w:divBdr>
        <w:top w:val="none" w:sz="0" w:space="0" w:color="auto"/>
        <w:left w:val="none" w:sz="0" w:space="0" w:color="auto"/>
        <w:bottom w:val="none" w:sz="0" w:space="0" w:color="auto"/>
        <w:right w:val="none" w:sz="0" w:space="0" w:color="auto"/>
      </w:divBdr>
    </w:div>
    <w:div w:id="16815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TXT/PDF/?uri=CELEX:32006R1503&amp;from=EN" TargetMode="External"/><Relationship Id="rId18" Type="http://schemas.openxmlformats.org/officeDocument/2006/relationships/hyperlink" Target="http://www.instat.gov.al/al/publikime/libra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stat.gov.al/al/temat/%C3%A7mimet/indeksi-i-kushtimit-n%C3%AB-nd%C3%ABrtim/" TargetMode="External"/><Relationship Id="rId7" Type="http://schemas.openxmlformats.org/officeDocument/2006/relationships/footnotes" Target="footnotes.xml"/><Relationship Id="rId12" Type="http://schemas.openxmlformats.org/officeDocument/2006/relationships/hyperlink" Target="https://eur-lex.europa.eu/legal-content/EN/ALL/?uri=CELEX%3A31998R1165" TargetMode="External"/><Relationship Id="rId17" Type="http://schemas.openxmlformats.org/officeDocument/2006/relationships/hyperlink" Target="http://instat.gov.al/al/temat/%C3%A7mimet/indeksi-i-kushtimit-n%C3%AB-nd%C3%ABrti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stat.gov.al/al/rreth-nesh/k&#235;rko-t&#235;-dh&#235;na/k&#235;rkes&#235;-t&#235;-dh&#235;nash-formulari/" TargetMode="External"/><Relationship Id="rId20" Type="http://schemas.openxmlformats.org/officeDocument/2006/relationships/hyperlink" Target="http://www.instat.gov.al/al/rreth-nesh/k%c3%abrko-t%c3%ab-dh%c3%abna/k%c3%abrkes%c3%ab-t%c3%ab-dh%c3%abnash-formula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594/psz-2017-2021.pdf" TargetMode="External"/><Relationship Id="rId24" Type="http://schemas.openxmlformats.org/officeDocument/2006/relationships/hyperlink" Target="http://www.instat.gov.al/media/2828/politika_e_trajtimit_te_gabimeve.pdf" TargetMode="External"/><Relationship Id="rId5" Type="http://schemas.openxmlformats.org/officeDocument/2006/relationships/settings" Target="settings.xml"/><Relationship Id="rId15" Type="http://schemas.openxmlformats.org/officeDocument/2006/relationships/hyperlink" Target="http://www.instat.gov.al/al/rreth-nesh/k&#235;rko-t&#235;-dh&#235;na/k&#235;rkes&#235;-t&#235;-dh&#235;nash-formulari/" TargetMode="External"/><Relationship Id="rId23" Type="http://schemas.openxmlformats.org/officeDocument/2006/relationships/hyperlink" Target="http://www.instat.gov.al/media/2829/politika_e_revizionimit.pdf" TargetMode="External"/><Relationship Id="rId10" Type="http://schemas.openxmlformats.org/officeDocument/2006/relationships/hyperlink" Target="http://www.instat.gov.al/media/3973/ligj-nr-17-dt-542018_per-statistikat-zyrtare.pdf" TargetMode="External"/><Relationship Id="rId19" Type="http://schemas.openxmlformats.org/officeDocument/2006/relationships/hyperlink" Target="http://databaza.instat.gov.al/pxweb/sq/DST" TargetMode="External"/><Relationship Id="rId4" Type="http://schemas.microsoft.com/office/2007/relationships/stylesWithEffects" Target="stylesWithEffects.xml"/><Relationship Id="rId9" Type="http://schemas.openxmlformats.org/officeDocument/2006/relationships/hyperlink" Target="mailto:rgjyshi@instat.gov.al" TargetMode="External"/><Relationship Id="rId14" Type="http://schemas.openxmlformats.org/officeDocument/2006/relationships/hyperlink" Target="http://www.instat.gov.al/al/publikime/kalendari/" TargetMode="External"/><Relationship Id="rId22" Type="http://schemas.openxmlformats.org/officeDocument/2006/relationships/hyperlink" Target="http://www.instat.gov.al/al/dokumentimi/cil&#235;sia-statistiko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A2698-C273-4723-AC4A-7FFBD8A6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Memaj</dc:creator>
  <cp:lastModifiedBy>Elona Berberi</cp:lastModifiedBy>
  <cp:revision>151</cp:revision>
  <dcterms:created xsi:type="dcterms:W3CDTF">2020-02-24T08:23:00Z</dcterms:created>
  <dcterms:modified xsi:type="dcterms:W3CDTF">2021-03-26T10:39:00Z</dcterms:modified>
</cp:coreProperties>
</file>