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630"/>
        <w:tblW w:w="0" w:type="auto"/>
        <w:shd w:val="clear" w:color="auto" w:fill="FBD4B4" w:themeFill="accent6" w:themeFillTint="66"/>
        <w:tblLook w:val="04A0" w:firstRow="1" w:lastRow="0" w:firstColumn="1" w:lastColumn="0" w:noHBand="0" w:noVBand="1"/>
      </w:tblPr>
      <w:tblGrid>
        <w:gridCol w:w="8351"/>
      </w:tblGrid>
      <w:tr w:rsidR="005A3CA6" w:rsidRPr="003F7852" w14:paraId="789B8FBC" w14:textId="77777777" w:rsidTr="00FB1E98">
        <w:trPr>
          <w:trHeight w:val="1979"/>
        </w:trPr>
        <w:tc>
          <w:tcPr>
            <w:tcW w:w="8351" w:type="dxa"/>
            <w:shd w:val="clear" w:color="auto" w:fill="FBD4B4" w:themeFill="accent6" w:themeFillTint="66"/>
          </w:tcPr>
          <w:p w14:paraId="6795900D" w14:textId="77777777" w:rsidR="005A3CA6" w:rsidRPr="00FB1E98" w:rsidRDefault="0015382A" w:rsidP="00FB1E98">
            <w:pPr>
              <w:pStyle w:val="Default"/>
              <w:spacing w:before="120" w:after="120"/>
              <w:jc w:val="center"/>
              <w:rPr>
                <w:b/>
                <w:bCs/>
                <w:sz w:val="40"/>
                <w:szCs w:val="40"/>
                <w:lang w:val="sq-AL"/>
              </w:rPr>
            </w:pPr>
            <w:r w:rsidRPr="00FB1E98">
              <w:rPr>
                <w:rFonts w:ascii="Times New Roman" w:hAnsi="Times New Roman" w:cs="Times New Roman"/>
                <w:b/>
                <w:bCs/>
                <w:sz w:val="40"/>
                <w:szCs w:val="40"/>
                <w:lang w:val="sq-AL"/>
              </w:rPr>
              <w:t>Anketa e Strukturave Akomoduese</w:t>
            </w:r>
            <w:r w:rsidR="00225BEA" w:rsidRPr="00FB1E98">
              <w:rPr>
                <w:rFonts w:ascii="Times New Roman" w:hAnsi="Times New Roman" w:cs="Times New Roman"/>
                <w:b/>
                <w:bCs/>
                <w:sz w:val="40"/>
                <w:szCs w:val="40"/>
                <w:lang w:val="sq-AL"/>
              </w:rPr>
              <w:t xml:space="preserve"> (tour_occ)</w:t>
            </w:r>
          </w:p>
          <w:p w14:paraId="6FC42DF1" w14:textId="77777777" w:rsidR="00066D29" w:rsidRPr="003F7852" w:rsidRDefault="005A3CA6" w:rsidP="00FB1E98">
            <w:pPr>
              <w:pStyle w:val="Default"/>
              <w:jc w:val="center"/>
              <w:rPr>
                <w:rFonts w:ascii="Times New Roman" w:hAnsi="Times New Roman" w:cs="Times New Roman"/>
                <w:sz w:val="28"/>
                <w:lang w:val="sq-AL"/>
              </w:rPr>
            </w:pPr>
            <w:r w:rsidRPr="003F7852">
              <w:rPr>
                <w:rFonts w:ascii="Times New Roman" w:hAnsi="Times New Roman" w:cs="Times New Roman"/>
                <w:sz w:val="28"/>
                <w:lang w:val="sq-AL"/>
              </w:rPr>
              <w:t>Metad</w:t>
            </w:r>
            <w:r w:rsidR="00066D29" w:rsidRPr="003F7852">
              <w:rPr>
                <w:rFonts w:ascii="Times New Roman" w:hAnsi="Times New Roman" w:cs="Times New Roman"/>
                <w:sz w:val="28"/>
                <w:lang w:val="sq-AL"/>
              </w:rPr>
              <w:t xml:space="preserve">ata Referenciale në format Euro </w:t>
            </w:r>
            <w:r w:rsidRPr="003F7852">
              <w:rPr>
                <w:rFonts w:ascii="Times New Roman" w:hAnsi="Times New Roman" w:cs="Times New Roman"/>
                <w:sz w:val="28"/>
                <w:lang w:val="sq-AL"/>
              </w:rPr>
              <w:t xml:space="preserve">SDMX Metadata Structure </w:t>
            </w:r>
          </w:p>
          <w:p w14:paraId="542373FB" w14:textId="77777777" w:rsidR="005A3CA6" w:rsidRPr="003F7852" w:rsidRDefault="005A3CA6" w:rsidP="00FB1E98">
            <w:pPr>
              <w:pStyle w:val="Default"/>
              <w:jc w:val="center"/>
              <w:rPr>
                <w:rFonts w:ascii="Times New Roman" w:hAnsi="Times New Roman" w:cs="Times New Roman"/>
                <w:sz w:val="28"/>
                <w:lang w:val="sq-AL"/>
              </w:rPr>
            </w:pPr>
            <w:r w:rsidRPr="003F7852">
              <w:rPr>
                <w:rFonts w:ascii="Times New Roman" w:hAnsi="Times New Roman" w:cs="Times New Roman"/>
                <w:sz w:val="28"/>
                <w:lang w:val="sq-AL"/>
              </w:rPr>
              <w:t>(ESMS)</w:t>
            </w:r>
          </w:p>
          <w:p w14:paraId="6F2540B8" w14:textId="77777777" w:rsidR="005A3CA6" w:rsidRDefault="00225BEA" w:rsidP="00FB1E98">
            <w:pPr>
              <w:pStyle w:val="Default"/>
              <w:jc w:val="center"/>
              <w:rPr>
                <w:rFonts w:ascii="Times New Roman" w:hAnsi="Times New Roman" w:cs="Times New Roman"/>
                <w:sz w:val="28"/>
                <w:lang w:val="sq-AL"/>
              </w:rPr>
            </w:pPr>
            <w:r w:rsidRPr="00225BEA">
              <w:rPr>
                <w:rFonts w:ascii="Times New Roman" w:hAnsi="Times New Roman" w:cs="Times New Roman"/>
                <w:sz w:val="28"/>
                <w:lang w:val="sq-AL"/>
              </w:rPr>
              <w:t xml:space="preserve">Agjensia: </w:t>
            </w:r>
            <w:r w:rsidR="005A3CA6" w:rsidRPr="00225BEA">
              <w:rPr>
                <w:rFonts w:ascii="Times New Roman" w:hAnsi="Times New Roman" w:cs="Times New Roman"/>
                <w:sz w:val="28"/>
                <w:lang w:val="sq-AL"/>
              </w:rPr>
              <w:t>INSTAT</w:t>
            </w:r>
          </w:p>
          <w:p w14:paraId="0330B933" w14:textId="47D6DD17" w:rsidR="00225BEA" w:rsidRDefault="00225BEA" w:rsidP="00FB1E98">
            <w:pPr>
              <w:pStyle w:val="Default"/>
              <w:jc w:val="center"/>
              <w:rPr>
                <w:rFonts w:ascii="Times New Roman" w:hAnsi="Times New Roman" w:cs="Times New Roman"/>
                <w:sz w:val="28"/>
                <w:lang w:val="sq-AL"/>
              </w:rPr>
            </w:pPr>
            <w:r>
              <w:rPr>
                <w:rFonts w:ascii="Times New Roman" w:hAnsi="Times New Roman" w:cs="Times New Roman"/>
                <w:sz w:val="28"/>
                <w:lang w:val="sq-AL"/>
              </w:rPr>
              <w:t>Periudha referenciale: 20</w:t>
            </w:r>
            <w:r w:rsidR="00AC4165">
              <w:rPr>
                <w:rFonts w:ascii="Times New Roman" w:hAnsi="Times New Roman" w:cs="Times New Roman"/>
                <w:sz w:val="28"/>
                <w:lang w:val="sq-AL"/>
              </w:rPr>
              <w:t>20</w:t>
            </w:r>
            <w:r>
              <w:rPr>
                <w:rFonts w:ascii="Times New Roman" w:hAnsi="Times New Roman" w:cs="Times New Roman"/>
                <w:sz w:val="28"/>
                <w:lang w:val="sq-AL"/>
              </w:rPr>
              <w:t>-A0</w:t>
            </w:r>
          </w:p>
          <w:p w14:paraId="7F3D91CC" w14:textId="77777777" w:rsidR="00586455" w:rsidRDefault="00586455" w:rsidP="00FB1E98">
            <w:pPr>
              <w:pStyle w:val="Default"/>
              <w:jc w:val="center"/>
              <w:rPr>
                <w:rFonts w:ascii="Times New Roman" w:hAnsi="Times New Roman" w:cs="Times New Roman"/>
                <w:sz w:val="28"/>
                <w:lang w:val="sq-AL"/>
              </w:rPr>
            </w:pPr>
            <w:r>
              <w:rPr>
                <w:rFonts w:ascii="Times New Roman" w:hAnsi="Times New Roman" w:cs="Times New Roman"/>
                <w:sz w:val="28"/>
                <w:lang w:val="sq-AL"/>
              </w:rPr>
              <w:t>Ofruesi i të dhënave: SSA</w:t>
            </w:r>
          </w:p>
          <w:p w14:paraId="780F28C2" w14:textId="77777777" w:rsidR="00225BEA" w:rsidRPr="003F7852" w:rsidRDefault="00586455" w:rsidP="00FB1E98">
            <w:pPr>
              <w:pStyle w:val="Default"/>
              <w:jc w:val="center"/>
              <w:rPr>
                <w:lang w:val="sq-AL"/>
              </w:rPr>
            </w:pPr>
            <w:r>
              <w:rPr>
                <w:rFonts w:ascii="Times New Roman" w:hAnsi="Times New Roman" w:cs="Times New Roman"/>
                <w:sz w:val="28"/>
                <w:lang w:val="sq-AL"/>
              </w:rPr>
              <w:t>Data Flow: TOUR_ESMSSP_A</w:t>
            </w:r>
          </w:p>
        </w:tc>
      </w:tr>
    </w:tbl>
    <w:p w14:paraId="078A2968" w14:textId="77777777" w:rsidR="00A57178" w:rsidRDefault="00A57178">
      <w:pPr>
        <w:rPr>
          <w:lang w:val="sq-AL"/>
        </w:rPr>
      </w:pPr>
    </w:p>
    <w:p w14:paraId="5A633659" w14:textId="77777777" w:rsidR="00A57178" w:rsidRDefault="00A57178">
      <w:pPr>
        <w:rPr>
          <w:lang w:val="sq-AL"/>
        </w:rPr>
      </w:pPr>
    </w:p>
    <w:p w14:paraId="2B28DDAF" w14:textId="77777777" w:rsidR="00A57178" w:rsidRDefault="00A57178">
      <w:pPr>
        <w:rPr>
          <w:lang w:val="sq-AL"/>
        </w:rPr>
      </w:pPr>
    </w:p>
    <w:p w14:paraId="59CD44E2" w14:textId="77777777" w:rsidR="00A57178" w:rsidRDefault="00A57178">
      <w:pPr>
        <w:rPr>
          <w:lang w:val="sq-AL"/>
        </w:rPr>
      </w:pPr>
    </w:p>
    <w:p w14:paraId="32D888CA" w14:textId="77777777" w:rsidR="00A57178" w:rsidRDefault="00A57178">
      <w:pPr>
        <w:rPr>
          <w:lang w:val="sq-AL"/>
        </w:rPr>
      </w:pPr>
    </w:p>
    <w:p w14:paraId="38047C6F" w14:textId="77777777" w:rsidR="00A57178" w:rsidRDefault="00A57178">
      <w:pPr>
        <w:rPr>
          <w:lang w:val="sq-AL"/>
        </w:rPr>
      </w:pPr>
    </w:p>
    <w:p w14:paraId="22233D60" w14:textId="77777777" w:rsidR="00A57178" w:rsidRDefault="00A57178">
      <w:pPr>
        <w:rPr>
          <w:lang w:val="sq-AL"/>
        </w:rPr>
      </w:pPr>
    </w:p>
    <w:p w14:paraId="1F267A01" w14:textId="77777777" w:rsidR="00A57178" w:rsidRDefault="00A57178">
      <w:pPr>
        <w:rPr>
          <w:lang w:val="sq-AL"/>
        </w:rPr>
      </w:pPr>
    </w:p>
    <w:sdt>
      <w:sdtPr>
        <w:rPr>
          <w:rFonts w:ascii="Times New Roman" w:eastAsiaTheme="minorHAnsi" w:hAnsi="Times New Roman" w:cs="Times New Roman"/>
          <w:b w:val="0"/>
          <w:bCs w:val="0"/>
          <w:color w:val="auto"/>
          <w:sz w:val="24"/>
          <w:szCs w:val="24"/>
          <w:lang w:val="sq-AL"/>
        </w:rPr>
        <w:id w:val="27854821"/>
        <w:docPartObj>
          <w:docPartGallery w:val="Table of Contents"/>
          <w:docPartUnique/>
        </w:docPartObj>
      </w:sdtPr>
      <w:sdtEndPr>
        <w:rPr>
          <w:rFonts w:eastAsiaTheme="minorEastAsia"/>
        </w:rPr>
      </w:sdtEndPr>
      <w:sdtContent>
        <w:p w14:paraId="52DFF166" w14:textId="77777777" w:rsidR="006912E1" w:rsidRPr="003F7852" w:rsidRDefault="006912E1">
          <w:pPr>
            <w:pStyle w:val="TOCHeading"/>
            <w:rPr>
              <w:rFonts w:ascii="Times New Roman" w:hAnsi="Times New Roman" w:cs="Times New Roman"/>
              <w:sz w:val="24"/>
              <w:szCs w:val="24"/>
              <w:lang w:val="sq-AL"/>
            </w:rPr>
          </w:pPr>
          <w:r w:rsidRPr="003F7852">
            <w:rPr>
              <w:rFonts w:ascii="Times New Roman" w:hAnsi="Times New Roman" w:cs="Times New Roman"/>
              <w:color w:val="000000" w:themeColor="text1"/>
              <w:szCs w:val="24"/>
              <w:lang w:val="sq-AL"/>
            </w:rPr>
            <w:t xml:space="preserve">Metadata </w:t>
          </w:r>
          <w:bookmarkStart w:id="0" w:name="_GoBack"/>
          <w:bookmarkEnd w:id="0"/>
          <w:r w:rsidRPr="003F7852">
            <w:rPr>
              <w:rFonts w:ascii="Times New Roman" w:hAnsi="Times New Roman" w:cs="Times New Roman"/>
              <w:color w:val="000000" w:themeColor="text1"/>
              <w:szCs w:val="24"/>
              <w:lang w:val="sq-AL"/>
            </w:rPr>
            <w:t>Referenciale</w:t>
          </w:r>
        </w:p>
        <w:p w14:paraId="1C241C3F" w14:textId="77777777" w:rsidR="00A2208F" w:rsidRDefault="00E7137D">
          <w:pPr>
            <w:pStyle w:val="TOC1"/>
            <w:tabs>
              <w:tab w:val="right" w:leader="dot" w:pos="10456"/>
            </w:tabs>
            <w:rPr>
              <w:noProof/>
            </w:rPr>
          </w:pPr>
          <w:r w:rsidRPr="003F7852">
            <w:rPr>
              <w:rFonts w:ascii="Times New Roman" w:hAnsi="Times New Roman" w:cs="Times New Roman"/>
              <w:sz w:val="24"/>
              <w:szCs w:val="24"/>
              <w:lang w:val="sq-AL"/>
            </w:rPr>
            <w:fldChar w:fldCharType="begin"/>
          </w:r>
          <w:r w:rsidR="006912E1" w:rsidRPr="003F7852">
            <w:rPr>
              <w:rFonts w:ascii="Times New Roman" w:hAnsi="Times New Roman" w:cs="Times New Roman"/>
              <w:sz w:val="24"/>
              <w:szCs w:val="24"/>
              <w:lang w:val="sq-AL"/>
            </w:rPr>
            <w:instrText xml:space="preserve"> TOC \o "1-3" \h \z \u </w:instrText>
          </w:r>
          <w:r w:rsidRPr="003F7852">
            <w:rPr>
              <w:rFonts w:ascii="Times New Roman" w:hAnsi="Times New Roman" w:cs="Times New Roman"/>
              <w:sz w:val="24"/>
              <w:szCs w:val="24"/>
              <w:lang w:val="sq-AL"/>
            </w:rPr>
            <w:fldChar w:fldCharType="separate"/>
          </w:r>
          <w:hyperlink w:anchor="_Toc69204574" w:history="1">
            <w:r w:rsidR="00A2208F" w:rsidRPr="000E6FEF">
              <w:rPr>
                <w:rStyle w:val="Hyperlink"/>
                <w:rFonts w:ascii="Times New Roman" w:eastAsia="Times New Roman" w:hAnsi="Times New Roman" w:cs="Times New Roman"/>
                <w:noProof/>
                <w:lang w:val="sq-AL" w:eastAsia="sq-AL"/>
              </w:rPr>
              <w:t>1. Kontakt</w:t>
            </w:r>
            <w:r w:rsidR="00A2208F">
              <w:rPr>
                <w:noProof/>
                <w:webHidden/>
              </w:rPr>
              <w:tab/>
            </w:r>
            <w:r w:rsidR="00A2208F">
              <w:rPr>
                <w:noProof/>
                <w:webHidden/>
              </w:rPr>
              <w:fldChar w:fldCharType="begin"/>
            </w:r>
            <w:r w:rsidR="00A2208F">
              <w:rPr>
                <w:noProof/>
                <w:webHidden/>
              </w:rPr>
              <w:instrText xml:space="preserve"> PAGEREF _Toc69204574 \h </w:instrText>
            </w:r>
            <w:r w:rsidR="00A2208F">
              <w:rPr>
                <w:noProof/>
                <w:webHidden/>
              </w:rPr>
            </w:r>
            <w:r w:rsidR="00A2208F">
              <w:rPr>
                <w:noProof/>
                <w:webHidden/>
              </w:rPr>
              <w:fldChar w:fldCharType="separate"/>
            </w:r>
            <w:r w:rsidR="00A2208F">
              <w:rPr>
                <w:noProof/>
                <w:webHidden/>
              </w:rPr>
              <w:t>2</w:t>
            </w:r>
            <w:r w:rsidR="00A2208F">
              <w:rPr>
                <w:noProof/>
                <w:webHidden/>
              </w:rPr>
              <w:fldChar w:fldCharType="end"/>
            </w:r>
          </w:hyperlink>
        </w:p>
        <w:p w14:paraId="305C4DE4" w14:textId="77777777" w:rsidR="00A2208F" w:rsidRDefault="00A2208F">
          <w:pPr>
            <w:pStyle w:val="TOC1"/>
            <w:tabs>
              <w:tab w:val="right" w:leader="dot" w:pos="10456"/>
            </w:tabs>
            <w:rPr>
              <w:noProof/>
            </w:rPr>
          </w:pPr>
          <w:hyperlink w:anchor="_Toc69204575" w:history="1">
            <w:r w:rsidRPr="000E6FEF">
              <w:rPr>
                <w:rStyle w:val="Hyperlink"/>
                <w:rFonts w:ascii="Times New Roman" w:eastAsia="Times New Roman" w:hAnsi="Times New Roman" w:cs="Times New Roman"/>
                <w:noProof/>
                <w:lang w:val="sq-AL" w:eastAsia="sq-AL"/>
              </w:rPr>
              <w:t>2. Përditësimi i metadatave</w:t>
            </w:r>
            <w:r>
              <w:rPr>
                <w:noProof/>
                <w:webHidden/>
              </w:rPr>
              <w:tab/>
            </w:r>
            <w:r>
              <w:rPr>
                <w:noProof/>
                <w:webHidden/>
              </w:rPr>
              <w:fldChar w:fldCharType="begin"/>
            </w:r>
            <w:r>
              <w:rPr>
                <w:noProof/>
                <w:webHidden/>
              </w:rPr>
              <w:instrText xml:space="preserve"> PAGEREF _Toc69204575 \h </w:instrText>
            </w:r>
            <w:r>
              <w:rPr>
                <w:noProof/>
                <w:webHidden/>
              </w:rPr>
            </w:r>
            <w:r>
              <w:rPr>
                <w:noProof/>
                <w:webHidden/>
              </w:rPr>
              <w:fldChar w:fldCharType="separate"/>
            </w:r>
            <w:r>
              <w:rPr>
                <w:noProof/>
                <w:webHidden/>
              </w:rPr>
              <w:t>2</w:t>
            </w:r>
            <w:r>
              <w:rPr>
                <w:noProof/>
                <w:webHidden/>
              </w:rPr>
              <w:fldChar w:fldCharType="end"/>
            </w:r>
          </w:hyperlink>
        </w:p>
        <w:p w14:paraId="6024F5B9" w14:textId="77777777" w:rsidR="00A2208F" w:rsidRDefault="00A2208F">
          <w:pPr>
            <w:pStyle w:val="TOC1"/>
            <w:tabs>
              <w:tab w:val="right" w:leader="dot" w:pos="10456"/>
            </w:tabs>
            <w:rPr>
              <w:noProof/>
            </w:rPr>
          </w:pPr>
          <w:hyperlink w:anchor="_Toc69204576" w:history="1">
            <w:r w:rsidRPr="000E6FEF">
              <w:rPr>
                <w:rStyle w:val="Hyperlink"/>
                <w:rFonts w:ascii="Times New Roman" w:eastAsia="Times New Roman" w:hAnsi="Times New Roman" w:cs="Times New Roman"/>
                <w:noProof/>
                <w:lang w:val="sq-AL" w:eastAsia="sq-AL"/>
              </w:rPr>
              <w:t>3. Paraqitja statistikore</w:t>
            </w:r>
            <w:r>
              <w:rPr>
                <w:noProof/>
                <w:webHidden/>
              </w:rPr>
              <w:tab/>
            </w:r>
            <w:r>
              <w:rPr>
                <w:noProof/>
                <w:webHidden/>
              </w:rPr>
              <w:fldChar w:fldCharType="begin"/>
            </w:r>
            <w:r>
              <w:rPr>
                <w:noProof/>
                <w:webHidden/>
              </w:rPr>
              <w:instrText xml:space="preserve"> PAGEREF _Toc69204576 \h </w:instrText>
            </w:r>
            <w:r>
              <w:rPr>
                <w:noProof/>
                <w:webHidden/>
              </w:rPr>
            </w:r>
            <w:r>
              <w:rPr>
                <w:noProof/>
                <w:webHidden/>
              </w:rPr>
              <w:fldChar w:fldCharType="separate"/>
            </w:r>
            <w:r>
              <w:rPr>
                <w:noProof/>
                <w:webHidden/>
              </w:rPr>
              <w:t>2</w:t>
            </w:r>
            <w:r>
              <w:rPr>
                <w:noProof/>
                <w:webHidden/>
              </w:rPr>
              <w:fldChar w:fldCharType="end"/>
            </w:r>
          </w:hyperlink>
        </w:p>
        <w:p w14:paraId="04F3A881" w14:textId="77777777" w:rsidR="00A2208F" w:rsidRDefault="00A2208F">
          <w:pPr>
            <w:pStyle w:val="TOC1"/>
            <w:tabs>
              <w:tab w:val="right" w:leader="dot" w:pos="10456"/>
            </w:tabs>
            <w:rPr>
              <w:noProof/>
            </w:rPr>
          </w:pPr>
          <w:hyperlink w:anchor="_Toc69204577" w:history="1">
            <w:r w:rsidRPr="000E6FEF">
              <w:rPr>
                <w:rStyle w:val="Hyperlink"/>
                <w:rFonts w:ascii="Times New Roman" w:eastAsia="Times New Roman" w:hAnsi="Times New Roman" w:cs="Times New Roman"/>
                <w:noProof/>
                <w:lang w:val="sq-AL" w:eastAsia="sq-AL"/>
              </w:rPr>
              <w:t>4. Njësia matëse</w:t>
            </w:r>
            <w:r>
              <w:rPr>
                <w:noProof/>
                <w:webHidden/>
              </w:rPr>
              <w:tab/>
            </w:r>
            <w:r>
              <w:rPr>
                <w:noProof/>
                <w:webHidden/>
              </w:rPr>
              <w:fldChar w:fldCharType="begin"/>
            </w:r>
            <w:r>
              <w:rPr>
                <w:noProof/>
                <w:webHidden/>
              </w:rPr>
              <w:instrText xml:space="preserve"> PAGEREF _Toc69204577 \h </w:instrText>
            </w:r>
            <w:r>
              <w:rPr>
                <w:noProof/>
                <w:webHidden/>
              </w:rPr>
            </w:r>
            <w:r>
              <w:rPr>
                <w:noProof/>
                <w:webHidden/>
              </w:rPr>
              <w:fldChar w:fldCharType="separate"/>
            </w:r>
            <w:r>
              <w:rPr>
                <w:noProof/>
                <w:webHidden/>
              </w:rPr>
              <w:t>6</w:t>
            </w:r>
            <w:r>
              <w:rPr>
                <w:noProof/>
                <w:webHidden/>
              </w:rPr>
              <w:fldChar w:fldCharType="end"/>
            </w:r>
          </w:hyperlink>
        </w:p>
        <w:p w14:paraId="12941EBA" w14:textId="77777777" w:rsidR="00A2208F" w:rsidRDefault="00A2208F">
          <w:pPr>
            <w:pStyle w:val="TOC1"/>
            <w:tabs>
              <w:tab w:val="right" w:leader="dot" w:pos="10456"/>
            </w:tabs>
            <w:rPr>
              <w:noProof/>
            </w:rPr>
          </w:pPr>
          <w:hyperlink w:anchor="_Toc69204578" w:history="1">
            <w:r w:rsidRPr="000E6FEF">
              <w:rPr>
                <w:rStyle w:val="Hyperlink"/>
                <w:rFonts w:ascii="Times New Roman" w:eastAsia="Times New Roman" w:hAnsi="Times New Roman" w:cs="Times New Roman"/>
                <w:noProof/>
                <w:lang w:val="sq-AL" w:eastAsia="sq-AL"/>
              </w:rPr>
              <w:t>5. Periudha e referencës</w:t>
            </w:r>
            <w:r>
              <w:rPr>
                <w:noProof/>
                <w:webHidden/>
              </w:rPr>
              <w:tab/>
            </w:r>
            <w:r>
              <w:rPr>
                <w:noProof/>
                <w:webHidden/>
              </w:rPr>
              <w:fldChar w:fldCharType="begin"/>
            </w:r>
            <w:r>
              <w:rPr>
                <w:noProof/>
                <w:webHidden/>
              </w:rPr>
              <w:instrText xml:space="preserve"> PAGEREF _Toc69204578 \h </w:instrText>
            </w:r>
            <w:r>
              <w:rPr>
                <w:noProof/>
                <w:webHidden/>
              </w:rPr>
            </w:r>
            <w:r>
              <w:rPr>
                <w:noProof/>
                <w:webHidden/>
              </w:rPr>
              <w:fldChar w:fldCharType="separate"/>
            </w:r>
            <w:r>
              <w:rPr>
                <w:noProof/>
                <w:webHidden/>
              </w:rPr>
              <w:t>6</w:t>
            </w:r>
            <w:r>
              <w:rPr>
                <w:noProof/>
                <w:webHidden/>
              </w:rPr>
              <w:fldChar w:fldCharType="end"/>
            </w:r>
          </w:hyperlink>
        </w:p>
        <w:p w14:paraId="576B9272" w14:textId="77777777" w:rsidR="00A2208F" w:rsidRDefault="00A2208F">
          <w:pPr>
            <w:pStyle w:val="TOC1"/>
            <w:tabs>
              <w:tab w:val="right" w:leader="dot" w:pos="10456"/>
            </w:tabs>
            <w:rPr>
              <w:noProof/>
            </w:rPr>
          </w:pPr>
          <w:hyperlink w:anchor="_Toc69204579" w:history="1">
            <w:r w:rsidRPr="000E6FEF">
              <w:rPr>
                <w:rStyle w:val="Hyperlink"/>
                <w:rFonts w:ascii="Times New Roman" w:eastAsia="Times New Roman" w:hAnsi="Times New Roman" w:cs="Times New Roman"/>
                <w:noProof/>
                <w:lang w:val="sq-AL" w:eastAsia="sq-AL"/>
              </w:rPr>
              <w:t>6. Mandati institucional</w:t>
            </w:r>
            <w:r>
              <w:rPr>
                <w:noProof/>
                <w:webHidden/>
              </w:rPr>
              <w:tab/>
            </w:r>
            <w:r>
              <w:rPr>
                <w:noProof/>
                <w:webHidden/>
              </w:rPr>
              <w:fldChar w:fldCharType="begin"/>
            </w:r>
            <w:r>
              <w:rPr>
                <w:noProof/>
                <w:webHidden/>
              </w:rPr>
              <w:instrText xml:space="preserve"> PAGEREF _Toc69204579 \h </w:instrText>
            </w:r>
            <w:r>
              <w:rPr>
                <w:noProof/>
                <w:webHidden/>
              </w:rPr>
            </w:r>
            <w:r>
              <w:rPr>
                <w:noProof/>
                <w:webHidden/>
              </w:rPr>
              <w:fldChar w:fldCharType="separate"/>
            </w:r>
            <w:r>
              <w:rPr>
                <w:noProof/>
                <w:webHidden/>
              </w:rPr>
              <w:t>6</w:t>
            </w:r>
            <w:r>
              <w:rPr>
                <w:noProof/>
                <w:webHidden/>
              </w:rPr>
              <w:fldChar w:fldCharType="end"/>
            </w:r>
          </w:hyperlink>
        </w:p>
        <w:p w14:paraId="54DE0730" w14:textId="77777777" w:rsidR="00A2208F" w:rsidRDefault="00A2208F">
          <w:pPr>
            <w:pStyle w:val="TOC1"/>
            <w:tabs>
              <w:tab w:val="right" w:leader="dot" w:pos="10456"/>
            </w:tabs>
            <w:rPr>
              <w:noProof/>
            </w:rPr>
          </w:pPr>
          <w:hyperlink w:anchor="_Toc69204580" w:history="1">
            <w:r w:rsidRPr="000E6FEF">
              <w:rPr>
                <w:rStyle w:val="Hyperlink"/>
                <w:rFonts w:ascii="Times New Roman" w:eastAsia="Times New Roman" w:hAnsi="Times New Roman" w:cs="Times New Roman"/>
                <w:noProof/>
                <w:lang w:val="sq-AL" w:eastAsia="sq-AL"/>
              </w:rPr>
              <w:t>7. Konfidencialiteti</w:t>
            </w:r>
            <w:r>
              <w:rPr>
                <w:noProof/>
                <w:webHidden/>
              </w:rPr>
              <w:tab/>
            </w:r>
            <w:r>
              <w:rPr>
                <w:noProof/>
                <w:webHidden/>
              </w:rPr>
              <w:fldChar w:fldCharType="begin"/>
            </w:r>
            <w:r>
              <w:rPr>
                <w:noProof/>
                <w:webHidden/>
              </w:rPr>
              <w:instrText xml:space="preserve"> PAGEREF _Toc69204580 \h </w:instrText>
            </w:r>
            <w:r>
              <w:rPr>
                <w:noProof/>
                <w:webHidden/>
              </w:rPr>
            </w:r>
            <w:r>
              <w:rPr>
                <w:noProof/>
                <w:webHidden/>
              </w:rPr>
              <w:fldChar w:fldCharType="separate"/>
            </w:r>
            <w:r>
              <w:rPr>
                <w:noProof/>
                <w:webHidden/>
              </w:rPr>
              <w:t>6</w:t>
            </w:r>
            <w:r>
              <w:rPr>
                <w:noProof/>
                <w:webHidden/>
              </w:rPr>
              <w:fldChar w:fldCharType="end"/>
            </w:r>
          </w:hyperlink>
        </w:p>
        <w:p w14:paraId="64C6AC3B" w14:textId="77777777" w:rsidR="00A2208F" w:rsidRDefault="00A2208F">
          <w:pPr>
            <w:pStyle w:val="TOC1"/>
            <w:tabs>
              <w:tab w:val="right" w:leader="dot" w:pos="10456"/>
            </w:tabs>
            <w:rPr>
              <w:noProof/>
            </w:rPr>
          </w:pPr>
          <w:hyperlink w:anchor="_Toc69204581" w:history="1">
            <w:r w:rsidRPr="000E6FEF">
              <w:rPr>
                <w:rStyle w:val="Hyperlink"/>
                <w:rFonts w:ascii="Times New Roman" w:eastAsia="Times New Roman" w:hAnsi="Times New Roman" w:cs="Times New Roman"/>
                <w:noProof/>
                <w:lang w:val="sq-AL" w:eastAsia="sq-AL"/>
              </w:rPr>
              <w:t>8. Politika e botimit</w:t>
            </w:r>
            <w:r>
              <w:rPr>
                <w:noProof/>
                <w:webHidden/>
              </w:rPr>
              <w:tab/>
            </w:r>
            <w:r>
              <w:rPr>
                <w:noProof/>
                <w:webHidden/>
              </w:rPr>
              <w:fldChar w:fldCharType="begin"/>
            </w:r>
            <w:r>
              <w:rPr>
                <w:noProof/>
                <w:webHidden/>
              </w:rPr>
              <w:instrText xml:space="preserve"> PAGEREF _Toc69204581 \h </w:instrText>
            </w:r>
            <w:r>
              <w:rPr>
                <w:noProof/>
                <w:webHidden/>
              </w:rPr>
            </w:r>
            <w:r>
              <w:rPr>
                <w:noProof/>
                <w:webHidden/>
              </w:rPr>
              <w:fldChar w:fldCharType="separate"/>
            </w:r>
            <w:r>
              <w:rPr>
                <w:noProof/>
                <w:webHidden/>
              </w:rPr>
              <w:t>7</w:t>
            </w:r>
            <w:r>
              <w:rPr>
                <w:noProof/>
                <w:webHidden/>
              </w:rPr>
              <w:fldChar w:fldCharType="end"/>
            </w:r>
          </w:hyperlink>
        </w:p>
        <w:p w14:paraId="34CA2D93" w14:textId="77777777" w:rsidR="00A2208F" w:rsidRDefault="00A2208F">
          <w:pPr>
            <w:pStyle w:val="TOC1"/>
            <w:tabs>
              <w:tab w:val="right" w:leader="dot" w:pos="10456"/>
            </w:tabs>
            <w:rPr>
              <w:noProof/>
            </w:rPr>
          </w:pPr>
          <w:hyperlink w:anchor="_Toc69204582" w:history="1">
            <w:r w:rsidRPr="000E6FEF">
              <w:rPr>
                <w:rStyle w:val="Hyperlink"/>
                <w:rFonts w:ascii="Times New Roman" w:eastAsia="Times New Roman" w:hAnsi="Times New Roman" w:cs="Times New Roman"/>
                <w:noProof/>
                <w:lang w:val="sq-AL" w:eastAsia="sq-AL"/>
              </w:rPr>
              <w:t>9. Shpeshtësia e shpërndarjes</w:t>
            </w:r>
            <w:r>
              <w:rPr>
                <w:noProof/>
                <w:webHidden/>
              </w:rPr>
              <w:tab/>
            </w:r>
            <w:r>
              <w:rPr>
                <w:noProof/>
                <w:webHidden/>
              </w:rPr>
              <w:fldChar w:fldCharType="begin"/>
            </w:r>
            <w:r>
              <w:rPr>
                <w:noProof/>
                <w:webHidden/>
              </w:rPr>
              <w:instrText xml:space="preserve"> PAGEREF _Toc69204582 \h </w:instrText>
            </w:r>
            <w:r>
              <w:rPr>
                <w:noProof/>
                <w:webHidden/>
              </w:rPr>
            </w:r>
            <w:r>
              <w:rPr>
                <w:noProof/>
                <w:webHidden/>
              </w:rPr>
              <w:fldChar w:fldCharType="separate"/>
            </w:r>
            <w:r>
              <w:rPr>
                <w:noProof/>
                <w:webHidden/>
              </w:rPr>
              <w:t>7</w:t>
            </w:r>
            <w:r>
              <w:rPr>
                <w:noProof/>
                <w:webHidden/>
              </w:rPr>
              <w:fldChar w:fldCharType="end"/>
            </w:r>
          </w:hyperlink>
        </w:p>
        <w:p w14:paraId="4B432795" w14:textId="77777777" w:rsidR="00A2208F" w:rsidRDefault="00A2208F">
          <w:pPr>
            <w:pStyle w:val="TOC1"/>
            <w:tabs>
              <w:tab w:val="right" w:leader="dot" w:pos="10456"/>
            </w:tabs>
            <w:rPr>
              <w:noProof/>
            </w:rPr>
          </w:pPr>
          <w:hyperlink w:anchor="_Toc69204583" w:history="1">
            <w:r w:rsidRPr="000E6FEF">
              <w:rPr>
                <w:rStyle w:val="Hyperlink"/>
                <w:rFonts w:ascii="Times New Roman" w:eastAsia="Times New Roman" w:hAnsi="Times New Roman" w:cs="Times New Roman"/>
                <w:noProof/>
                <w:lang w:val="sq-AL" w:eastAsia="sq-AL"/>
              </w:rPr>
              <w:t>10. Aksesi në të dhëna dhe qartësia</w:t>
            </w:r>
            <w:r>
              <w:rPr>
                <w:noProof/>
                <w:webHidden/>
              </w:rPr>
              <w:tab/>
            </w:r>
            <w:r>
              <w:rPr>
                <w:noProof/>
                <w:webHidden/>
              </w:rPr>
              <w:fldChar w:fldCharType="begin"/>
            </w:r>
            <w:r>
              <w:rPr>
                <w:noProof/>
                <w:webHidden/>
              </w:rPr>
              <w:instrText xml:space="preserve"> PAGEREF _Toc69204583 \h </w:instrText>
            </w:r>
            <w:r>
              <w:rPr>
                <w:noProof/>
                <w:webHidden/>
              </w:rPr>
            </w:r>
            <w:r>
              <w:rPr>
                <w:noProof/>
                <w:webHidden/>
              </w:rPr>
              <w:fldChar w:fldCharType="separate"/>
            </w:r>
            <w:r>
              <w:rPr>
                <w:noProof/>
                <w:webHidden/>
              </w:rPr>
              <w:t>7</w:t>
            </w:r>
            <w:r>
              <w:rPr>
                <w:noProof/>
                <w:webHidden/>
              </w:rPr>
              <w:fldChar w:fldCharType="end"/>
            </w:r>
          </w:hyperlink>
        </w:p>
        <w:p w14:paraId="6A526E65" w14:textId="77777777" w:rsidR="00A2208F" w:rsidRDefault="00A2208F">
          <w:pPr>
            <w:pStyle w:val="TOC1"/>
            <w:tabs>
              <w:tab w:val="right" w:leader="dot" w:pos="10456"/>
            </w:tabs>
            <w:rPr>
              <w:noProof/>
            </w:rPr>
          </w:pPr>
          <w:hyperlink w:anchor="_Toc69204584" w:history="1">
            <w:r w:rsidRPr="000E6FEF">
              <w:rPr>
                <w:rStyle w:val="Hyperlink"/>
                <w:rFonts w:ascii="Times New Roman" w:eastAsia="Times New Roman" w:hAnsi="Times New Roman" w:cs="Times New Roman"/>
                <w:noProof/>
                <w:lang w:val="sq-AL" w:eastAsia="sq-AL"/>
              </w:rPr>
              <w:t>11. Manaxhimi i cilësisë</w:t>
            </w:r>
            <w:r>
              <w:rPr>
                <w:noProof/>
                <w:webHidden/>
              </w:rPr>
              <w:tab/>
            </w:r>
            <w:r>
              <w:rPr>
                <w:noProof/>
                <w:webHidden/>
              </w:rPr>
              <w:fldChar w:fldCharType="begin"/>
            </w:r>
            <w:r>
              <w:rPr>
                <w:noProof/>
                <w:webHidden/>
              </w:rPr>
              <w:instrText xml:space="preserve"> PAGEREF _Toc69204584 \h </w:instrText>
            </w:r>
            <w:r>
              <w:rPr>
                <w:noProof/>
                <w:webHidden/>
              </w:rPr>
            </w:r>
            <w:r>
              <w:rPr>
                <w:noProof/>
                <w:webHidden/>
              </w:rPr>
              <w:fldChar w:fldCharType="separate"/>
            </w:r>
            <w:r>
              <w:rPr>
                <w:noProof/>
                <w:webHidden/>
              </w:rPr>
              <w:t>8</w:t>
            </w:r>
            <w:r>
              <w:rPr>
                <w:noProof/>
                <w:webHidden/>
              </w:rPr>
              <w:fldChar w:fldCharType="end"/>
            </w:r>
          </w:hyperlink>
        </w:p>
        <w:p w14:paraId="77620EC6" w14:textId="77777777" w:rsidR="00A2208F" w:rsidRDefault="00A2208F">
          <w:pPr>
            <w:pStyle w:val="TOC1"/>
            <w:tabs>
              <w:tab w:val="right" w:leader="dot" w:pos="10456"/>
            </w:tabs>
            <w:rPr>
              <w:noProof/>
            </w:rPr>
          </w:pPr>
          <w:hyperlink w:anchor="_Toc69204585" w:history="1">
            <w:r w:rsidRPr="000E6FEF">
              <w:rPr>
                <w:rStyle w:val="Hyperlink"/>
                <w:rFonts w:ascii="Times New Roman" w:eastAsia="Times New Roman" w:hAnsi="Times New Roman" w:cs="Times New Roman"/>
                <w:noProof/>
                <w:lang w:val="sq-AL" w:eastAsia="sq-AL"/>
              </w:rPr>
              <w:t>12. Rëndësia</w:t>
            </w:r>
            <w:r>
              <w:rPr>
                <w:noProof/>
                <w:webHidden/>
              </w:rPr>
              <w:tab/>
            </w:r>
            <w:r>
              <w:rPr>
                <w:noProof/>
                <w:webHidden/>
              </w:rPr>
              <w:fldChar w:fldCharType="begin"/>
            </w:r>
            <w:r>
              <w:rPr>
                <w:noProof/>
                <w:webHidden/>
              </w:rPr>
              <w:instrText xml:space="preserve"> PAGEREF _Toc69204585 \h </w:instrText>
            </w:r>
            <w:r>
              <w:rPr>
                <w:noProof/>
                <w:webHidden/>
              </w:rPr>
            </w:r>
            <w:r>
              <w:rPr>
                <w:noProof/>
                <w:webHidden/>
              </w:rPr>
              <w:fldChar w:fldCharType="separate"/>
            </w:r>
            <w:r>
              <w:rPr>
                <w:noProof/>
                <w:webHidden/>
              </w:rPr>
              <w:t>9</w:t>
            </w:r>
            <w:r>
              <w:rPr>
                <w:noProof/>
                <w:webHidden/>
              </w:rPr>
              <w:fldChar w:fldCharType="end"/>
            </w:r>
          </w:hyperlink>
        </w:p>
        <w:p w14:paraId="07DDCC53" w14:textId="77777777" w:rsidR="00A2208F" w:rsidRDefault="00A2208F">
          <w:pPr>
            <w:pStyle w:val="TOC1"/>
            <w:tabs>
              <w:tab w:val="right" w:leader="dot" w:pos="10456"/>
            </w:tabs>
            <w:rPr>
              <w:noProof/>
            </w:rPr>
          </w:pPr>
          <w:hyperlink w:anchor="_Toc69204586" w:history="1">
            <w:r w:rsidRPr="000E6FEF">
              <w:rPr>
                <w:rStyle w:val="Hyperlink"/>
                <w:rFonts w:ascii="Times New Roman" w:eastAsia="Times New Roman" w:hAnsi="Times New Roman" w:cs="Times New Roman"/>
                <w:noProof/>
                <w:lang w:val="sq-AL" w:eastAsia="sq-AL"/>
              </w:rPr>
              <w:t>13. Saktësia dhe besueshmëria</w:t>
            </w:r>
            <w:r>
              <w:rPr>
                <w:noProof/>
                <w:webHidden/>
              </w:rPr>
              <w:tab/>
            </w:r>
            <w:r>
              <w:rPr>
                <w:noProof/>
                <w:webHidden/>
              </w:rPr>
              <w:fldChar w:fldCharType="begin"/>
            </w:r>
            <w:r>
              <w:rPr>
                <w:noProof/>
                <w:webHidden/>
              </w:rPr>
              <w:instrText xml:space="preserve"> PAGEREF _Toc69204586 \h </w:instrText>
            </w:r>
            <w:r>
              <w:rPr>
                <w:noProof/>
                <w:webHidden/>
              </w:rPr>
            </w:r>
            <w:r>
              <w:rPr>
                <w:noProof/>
                <w:webHidden/>
              </w:rPr>
              <w:fldChar w:fldCharType="separate"/>
            </w:r>
            <w:r>
              <w:rPr>
                <w:noProof/>
                <w:webHidden/>
              </w:rPr>
              <w:t>11</w:t>
            </w:r>
            <w:r>
              <w:rPr>
                <w:noProof/>
                <w:webHidden/>
              </w:rPr>
              <w:fldChar w:fldCharType="end"/>
            </w:r>
          </w:hyperlink>
        </w:p>
        <w:p w14:paraId="62F45282" w14:textId="77777777" w:rsidR="00A2208F" w:rsidRDefault="00A2208F">
          <w:pPr>
            <w:pStyle w:val="TOC1"/>
            <w:tabs>
              <w:tab w:val="right" w:leader="dot" w:pos="10456"/>
            </w:tabs>
            <w:rPr>
              <w:noProof/>
            </w:rPr>
          </w:pPr>
          <w:hyperlink w:anchor="_Toc69204587" w:history="1">
            <w:r w:rsidRPr="000E6FEF">
              <w:rPr>
                <w:rStyle w:val="Hyperlink"/>
                <w:rFonts w:ascii="Times New Roman" w:eastAsia="Times New Roman" w:hAnsi="Times New Roman" w:cs="Times New Roman"/>
                <w:noProof/>
                <w:lang w:val="sq-AL" w:eastAsia="sq-AL"/>
              </w:rPr>
              <w:t>14. Afatet kohore dhe përpikmëria</w:t>
            </w:r>
            <w:r>
              <w:rPr>
                <w:noProof/>
                <w:webHidden/>
              </w:rPr>
              <w:tab/>
            </w:r>
            <w:r>
              <w:rPr>
                <w:noProof/>
                <w:webHidden/>
              </w:rPr>
              <w:fldChar w:fldCharType="begin"/>
            </w:r>
            <w:r>
              <w:rPr>
                <w:noProof/>
                <w:webHidden/>
              </w:rPr>
              <w:instrText xml:space="preserve"> PAGEREF _Toc69204587 \h </w:instrText>
            </w:r>
            <w:r>
              <w:rPr>
                <w:noProof/>
                <w:webHidden/>
              </w:rPr>
            </w:r>
            <w:r>
              <w:rPr>
                <w:noProof/>
                <w:webHidden/>
              </w:rPr>
              <w:fldChar w:fldCharType="separate"/>
            </w:r>
            <w:r>
              <w:rPr>
                <w:noProof/>
                <w:webHidden/>
              </w:rPr>
              <w:t>12</w:t>
            </w:r>
            <w:r>
              <w:rPr>
                <w:noProof/>
                <w:webHidden/>
              </w:rPr>
              <w:fldChar w:fldCharType="end"/>
            </w:r>
          </w:hyperlink>
        </w:p>
        <w:p w14:paraId="520E3492" w14:textId="77777777" w:rsidR="00A2208F" w:rsidRDefault="00A2208F">
          <w:pPr>
            <w:pStyle w:val="TOC1"/>
            <w:tabs>
              <w:tab w:val="right" w:leader="dot" w:pos="10456"/>
            </w:tabs>
            <w:rPr>
              <w:noProof/>
            </w:rPr>
          </w:pPr>
          <w:hyperlink w:anchor="_Toc69204588" w:history="1">
            <w:r w:rsidRPr="000E6FEF">
              <w:rPr>
                <w:rStyle w:val="Hyperlink"/>
                <w:rFonts w:ascii="Times New Roman" w:eastAsia="Times New Roman" w:hAnsi="Times New Roman" w:cs="Times New Roman"/>
                <w:noProof/>
                <w:lang w:val="sq-AL" w:eastAsia="sq-AL"/>
              </w:rPr>
              <w:t>15. Koherenca dhe Krahasueshmëria</w:t>
            </w:r>
            <w:r>
              <w:rPr>
                <w:noProof/>
                <w:webHidden/>
              </w:rPr>
              <w:tab/>
            </w:r>
            <w:r>
              <w:rPr>
                <w:noProof/>
                <w:webHidden/>
              </w:rPr>
              <w:fldChar w:fldCharType="begin"/>
            </w:r>
            <w:r>
              <w:rPr>
                <w:noProof/>
                <w:webHidden/>
              </w:rPr>
              <w:instrText xml:space="preserve"> PAGEREF _Toc69204588 \h </w:instrText>
            </w:r>
            <w:r>
              <w:rPr>
                <w:noProof/>
                <w:webHidden/>
              </w:rPr>
            </w:r>
            <w:r>
              <w:rPr>
                <w:noProof/>
                <w:webHidden/>
              </w:rPr>
              <w:fldChar w:fldCharType="separate"/>
            </w:r>
            <w:r>
              <w:rPr>
                <w:noProof/>
                <w:webHidden/>
              </w:rPr>
              <w:t>12</w:t>
            </w:r>
            <w:r>
              <w:rPr>
                <w:noProof/>
                <w:webHidden/>
              </w:rPr>
              <w:fldChar w:fldCharType="end"/>
            </w:r>
          </w:hyperlink>
        </w:p>
        <w:p w14:paraId="06039BBC" w14:textId="77777777" w:rsidR="00A2208F" w:rsidRDefault="00A2208F">
          <w:pPr>
            <w:pStyle w:val="TOC1"/>
            <w:tabs>
              <w:tab w:val="right" w:leader="dot" w:pos="10456"/>
            </w:tabs>
            <w:rPr>
              <w:noProof/>
            </w:rPr>
          </w:pPr>
          <w:hyperlink w:anchor="_Toc69204589" w:history="1">
            <w:r w:rsidRPr="000E6FEF">
              <w:rPr>
                <w:rStyle w:val="Hyperlink"/>
                <w:rFonts w:ascii="Times New Roman" w:eastAsia="Times New Roman" w:hAnsi="Times New Roman" w:cs="Times New Roman"/>
                <w:noProof/>
                <w:lang w:val="sq-AL" w:eastAsia="sq-AL"/>
              </w:rPr>
              <w:t>16. Kostoja dhe ngarkesa</w:t>
            </w:r>
            <w:r>
              <w:rPr>
                <w:noProof/>
                <w:webHidden/>
              </w:rPr>
              <w:tab/>
            </w:r>
            <w:r>
              <w:rPr>
                <w:noProof/>
                <w:webHidden/>
              </w:rPr>
              <w:fldChar w:fldCharType="begin"/>
            </w:r>
            <w:r>
              <w:rPr>
                <w:noProof/>
                <w:webHidden/>
              </w:rPr>
              <w:instrText xml:space="preserve"> PAGEREF _Toc69204589 \h </w:instrText>
            </w:r>
            <w:r>
              <w:rPr>
                <w:noProof/>
                <w:webHidden/>
              </w:rPr>
            </w:r>
            <w:r>
              <w:rPr>
                <w:noProof/>
                <w:webHidden/>
              </w:rPr>
              <w:fldChar w:fldCharType="separate"/>
            </w:r>
            <w:r>
              <w:rPr>
                <w:noProof/>
                <w:webHidden/>
              </w:rPr>
              <w:t>13</w:t>
            </w:r>
            <w:r>
              <w:rPr>
                <w:noProof/>
                <w:webHidden/>
              </w:rPr>
              <w:fldChar w:fldCharType="end"/>
            </w:r>
          </w:hyperlink>
        </w:p>
        <w:p w14:paraId="537A34D7" w14:textId="77777777" w:rsidR="00A2208F" w:rsidRDefault="00A2208F">
          <w:pPr>
            <w:pStyle w:val="TOC1"/>
            <w:tabs>
              <w:tab w:val="right" w:leader="dot" w:pos="10456"/>
            </w:tabs>
            <w:rPr>
              <w:noProof/>
            </w:rPr>
          </w:pPr>
          <w:hyperlink w:anchor="_Toc69204590" w:history="1">
            <w:r w:rsidRPr="000E6FEF">
              <w:rPr>
                <w:rStyle w:val="Hyperlink"/>
                <w:rFonts w:ascii="Times New Roman" w:eastAsia="Times New Roman" w:hAnsi="Times New Roman" w:cs="Times New Roman"/>
                <w:noProof/>
                <w:lang w:val="sq-AL" w:eastAsia="sq-AL"/>
              </w:rPr>
              <w:t>17. Rishikimi i të dhënave</w:t>
            </w:r>
            <w:r>
              <w:rPr>
                <w:noProof/>
                <w:webHidden/>
              </w:rPr>
              <w:tab/>
            </w:r>
            <w:r>
              <w:rPr>
                <w:noProof/>
                <w:webHidden/>
              </w:rPr>
              <w:fldChar w:fldCharType="begin"/>
            </w:r>
            <w:r>
              <w:rPr>
                <w:noProof/>
                <w:webHidden/>
              </w:rPr>
              <w:instrText xml:space="preserve"> PAGEREF _Toc69204590 \h </w:instrText>
            </w:r>
            <w:r>
              <w:rPr>
                <w:noProof/>
                <w:webHidden/>
              </w:rPr>
            </w:r>
            <w:r>
              <w:rPr>
                <w:noProof/>
                <w:webHidden/>
              </w:rPr>
              <w:fldChar w:fldCharType="separate"/>
            </w:r>
            <w:r>
              <w:rPr>
                <w:noProof/>
                <w:webHidden/>
              </w:rPr>
              <w:t>13</w:t>
            </w:r>
            <w:r>
              <w:rPr>
                <w:noProof/>
                <w:webHidden/>
              </w:rPr>
              <w:fldChar w:fldCharType="end"/>
            </w:r>
          </w:hyperlink>
        </w:p>
        <w:p w14:paraId="124A0921" w14:textId="77777777" w:rsidR="00A2208F" w:rsidRDefault="00A2208F">
          <w:pPr>
            <w:pStyle w:val="TOC1"/>
            <w:tabs>
              <w:tab w:val="right" w:leader="dot" w:pos="10456"/>
            </w:tabs>
            <w:rPr>
              <w:noProof/>
            </w:rPr>
          </w:pPr>
          <w:hyperlink w:anchor="_Toc69204591" w:history="1">
            <w:r w:rsidRPr="000E6FEF">
              <w:rPr>
                <w:rStyle w:val="Hyperlink"/>
                <w:rFonts w:ascii="Times New Roman" w:eastAsia="Times New Roman" w:hAnsi="Times New Roman" w:cs="Times New Roman"/>
                <w:noProof/>
                <w:lang w:val="sq-AL" w:eastAsia="sq-AL"/>
              </w:rPr>
              <w:t>18. Përpunimi statistikor</w:t>
            </w:r>
            <w:r>
              <w:rPr>
                <w:noProof/>
                <w:webHidden/>
              </w:rPr>
              <w:tab/>
            </w:r>
            <w:r>
              <w:rPr>
                <w:noProof/>
                <w:webHidden/>
              </w:rPr>
              <w:fldChar w:fldCharType="begin"/>
            </w:r>
            <w:r>
              <w:rPr>
                <w:noProof/>
                <w:webHidden/>
              </w:rPr>
              <w:instrText xml:space="preserve"> PAGEREF _Toc69204591 \h </w:instrText>
            </w:r>
            <w:r>
              <w:rPr>
                <w:noProof/>
                <w:webHidden/>
              </w:rPr>
            </w:r>
            <w:r>
              <w:rPr>
                <w:noProof/>
                <w:webHidden/>
              </w:rPr>
              <w:fldChar w:fldCharType="separate"/>
            </w:r>
            <w:r>
              <w:rPr>
                <w:noProof/>
                <w:webHidden/>
              </w:rPr>
              <w:t>14</w:t>
            </w:r>
            <w:r>
              <w:rPr>
                <w:noProof/>
                <w:webHidden/>
              </w:rPr>
              <w:fldChar w:fldCharType="end"/>
            </w:r>
          </w:hyperlink>
        </w:p>
        <w:p w14:paraId="3D4CF57B" w14:textId="77777777" w:rsidR="00A2208F" w:rsidRDefault="00A2208F">
          <w:pPr>
            <w:pStyle w:val="TOC1"/>
            <w:tabs>
              <w:tab w:val="right" w:leader="dot" w:pos="10456"/>
            </w:tabs>
            <w:rPr>
              <w:noProof/>
            </w:rPr>
          </w:pPr>
          <w:hyperlink w:anchor="_Toc69204592" w:history="1">
            <w:r w:rsidRPr="000E6FEF">
              <w:rPr>
                <w:rStyle w:val="Hyperlink"/>
                <w:rFonts w:ascii="Times New Roman" w:eastAsia="Times New Roman" w:hAnsi="Times New Roman" w:cs="Times New Roman"/>
                <w:noProof/>
                <w:lang w:val="sq-AL" w:eastAsia="sq-AL"/>
              </w:rPr>
              <w:t>19. Komente</w:t>
            </w:r>
            <w:r>
              <w:rPr>
                <w:noProof/>
                <w:webHidden/>
              </w:rPr>
              <w:tab/>
            </w:r>
            <w:r>
              <w:rPr>
                <w:noProof/>
                <w:webHidden/>
              </w:rPr>
              <w:fldChar w:fldCharType="begin"/>
            </w:r>
            <w:r>
              <w:rPr>
                <w:noProof/>
                <w:webHidden/>
              </w:rPr>
              <w:instrText xml:space="preserve"> PAGEREF _Toc69204592 \h </w:instrText>
            </w:r>
            <w:r>
              <w:rPr>
                <w:noProof/>
                <w:webHidden/>
              </w:rPr>
            </w:r>
            <w:r>
              <w:rPr>
                <w:noProof/>
                <w:webHidden/>
              </w:rPr>
              <w:fldChar w:fldCharType="separate"/>
            </w:r>
            <w:r>
              <w:rPr>
                <w:noProof/>
                <w:webHidden/>
              </w:rPr>
              <w:t>16</w:t>
            </w:r>
            <w:r>
              <w:rPr>
                <w:noProof/>
                <w:webHidden/>
              </w:rPr>
              <w:fldChar w:fldCharType="end"/>
            </w:r>
          </w:hyperlink>
        </w:p>
        <w:p w14:paraId="4C7235E4" w14:textId="77777777" w:rsidR="00A2208F" w:rsidRDefault="00A2208F">
          <w:pPr>
            <w:pStyle w:val="TOC1"/>
            <w:tabs>
              <w:tab w:val="right" w:leader="dot" w:pos="10456"/>
            </w:tabs>
            <w:rPr>
              <w:noProof/>
            </w:rPr>
          </w:pPr>
          <w:hyperlink w:anchor="_Toc69204593" w:history="1">
            <w:r w:rsidRPr="000E6FEF">
              <w:rPr>
                <w:rStyle w:val="Hyperlink"/>
                <w:rFonts w:ascii="Times New Roman" w:eastAsia="Times New Roman" w:hAnsi="Times New Roman" w:cs="Times New Roman"/>
                <w:noProof/>
                <w:lang w:val="sq-AL" w:eastAsia="sq-AL"/>
              </w:rPr>
              <w:t>Aneks</w:t>
            </w:r>
            <w:r>
              <w:rPr>
                <w:noProof/>
                <w:webHidden/>
              </w:rPr>
              <w:tab/>
            </w:r>
            <w:r>
              <w:rPr>
                <w:noProof/>
                <w:webHidden/>
              </w:rPr>
              <w:fldChar w:fldCharType="begin"/>
            </w:r>
            <w:r>
              <w:rPr>
                <w:noProof/>
                <w:webHidden/>
              </w:rPr>
              <w:instrText xml:space="preserve"> PAGEREF _Toc69204593 \h </w:instrText>
            </w:r>
            <w:r>
              <w:rPr>
                <w:noProof/>
                <w:webHidden/>
              </w:rPr>
            </w:r>
            <w:r>
              <w:rPr>
                <w:noProof/>
                <w:webHidden/>
              </w:rPr>
              <w:fldChar w:fldCharType="separate"/>
            </w:r>
            <w:r>
              <w:rPr>
                <w:noProof/>
                <w:webHidden/>
              </w:rPr>
              <w:t>16</w:t>
            </w:r>
            <w:r>
              <w:rPr>
                <w:noProof/>
                <w:webHidden/>
              </w:rPr>
              <w:fldChar w:fldCharType="end"/>
            </w:r>
          </w:hyperlink>
        </w:p>
        <w:p w14:paraId="13028FE5" w14:textId="3CF64A84" w:rsidR="006912E1" w:rsidRPr="003F7852" w:rsidRDefault="00E7137D" w:rsidP="00A57178">
          <w:pPr>
            <w:pStyle w:val="TOC1"/>
            <w:tabs>
              <w:tab w:val="right" w:leader="dot" w:pos="10456"/>
            </w:tabs>
            <w:rPr>
              <w:lang w:val="sq-AL"/>
            </w:rPr>
          </w:pPr>
          <w:r w:rsidRPr="003F7852">
            <w:rPr>
              <w:rFonts w:ascii="Times New Roman" w:hAnsi="Times New Roman" w:cs="Times New Roman"/>
              <w:sz w:val="24"/>
              <w:szCs w:val="24"/>
              <w:lang w:val="sq-AL"/>
            </w:rPr>
            <w:fldChar w:fldCharType="end"/>
          </w:r>
        </w:p>
      </w:sdtContent>
    </w:sdt>
    <w:p w14:paraId="64570035" w14:textId="77777777" w:rsidR="005A3CA6" w:rsidRPr="003F7852" w:rsidRDefault="005A3CA6">
      <w:pPr>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64"/>
      </w:tblGrid>
      <w:tr w:rsidR="00247A56" w:rsidRPr="003F7852" w14:paraId="0CCB078B" w14:textId="77777777" w:rsidTr="00C50933">
        <w:trPr>
          <w:trHeight w:val="567"/>
        </w:trPr>
        <w:tc>
          <w:tcPr>
            <w:tcW w:w="10682" w:type="dxa"/>
            <w:gridSpan w:val="2"/>
            <w:shd w:val="clear" w:color="auto" w:fill="FBD4B4" w:themeFill="accent6" w:themeFillTint="66"/>
            <w:noWrap/>
            <w:vAlign w:val="center"/>
            <w:hideMark/>
          </w:tcPr>
          <w:p w14:paraId="4F7D163D" w14:textId="77777777" w:rsidR="00247A56" w:rsidRPr="003F7852"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1" w:name="_Toc69204574"/>
            <w:r w:rsidRPr="003F7852">
              <w:rPr>
                <w:rFonts w:ascii="Times New Roman" w:eastAsia="Times New Roman" w:hAnsi="Times New Roman" w:cs="Times New Roman"/>
                <w:noProof/>
                <w:color w:val="000000" w:themeColor="text1"/>
                <w:sz w:val="24"/>
                <w:szCs w:val="24"/>
                <w:lang w:val="sq-AL" w:eastAsia="sq-AL"/>
              </w:rPr>
              <w:lastRenderedPageBreak/>
              <w:t>1.</w:t>
            </w:r>
            <w:r w:rsidR="00223F89" w:rsidRPr="003F7852">
              <w:rPr>
                <w:rFonts w:ascii="Times New Roman" w:eastAsia="Times New Roman" w:hAnsi="Times New Roman" w:cs="Times New Roman"/>
                <w:noProof/>
                <w:color w:val="000000" w:themeColor="text1"/>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Kontakt</w:t>
            </w:r>
            <w:bookmarkEnd w:id="1"/>
          </w:p>
        </w:tc>
      </w:tr>
      <w:tr w:rsidR="00B15F7B" w:rsidRPr="003F7852" w14:paraId="5AEC66D3" w14:textId="77777777" w:rsidTr="00C50933">
        <w:trPr>
          <w:trHeight w:val="567"/>
        </w:trPr>
        <w:tc>
          <w:tcPr>
            <w:tcW w:w="2518" w:type="dxa"/>
            <w:shd w:val="clear" w:color="auto" w:fill="FFFFCC"/>
            <w:vAlign w:val="center"/>
            <w:hideMark/>
          </w:tcPr>
          <w:p w14:paraId="63ED09C1"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1.1. Institucioni i kontaktit</w:t>
            </w:r>
          </w:p>
        </w:tc>
        <w:tc>
          <w:tcPr>
            <w:tcW w:w="8164" w:type="dxa"/>
            <w:shd w:val="clear" w:color="auto" w:fill="auto"/>
            <w:noWrap/>
            <w:vAlign w:val="center"/>
            <w:hideMark/>
          </w:tcPr>
          <w:p w14:paraId="179C1C0A" w14:textId="77777777" w:rsidR="00247A56" w:rsidRPr="003F7852" w:rsidRDefault="00247A56"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color w:val="000000"/>
                <w:sz w:val="24"/>
                <w:szCs w:val="24"/>
                <w:lang w:val="sq-AL"/>
              </w:rPr>
              <w:t>INSTAT, Instituti i Statistikave</w:t>
            </w:r>
          </w:p>
        </w:tc>
      </w:tr>
      <w:tr w:rsidR="00B15F7B" w:rsidRPr="003F7852" w14:paraId="4EE13C08" w14:textId="77777777" w:rsidTr="00C50933">
        <w:trPr>
          <w:trHeight w:val="567"/>
        </w:trPr>
        <w:tc>
          <w:tcPr>
            <w:tcW w:w="2518" w:type="dxa"/>
            <w:shd w:val="clear" w:color="auto" w:fill="FFFFCC"/>
            <w:vAlign w:val="center"/>
            <w:hideMark/>
          </w:tcPr>
          <w:p w14:paraId="3A319986"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1.2. Njësia e kontaktit</w:t>
            </w:r>
          </w:p>
        </w:tc>
        <w:tc>
          <w:tcPr>
            <w:tcW w:w="8164" w:type="dxa"/>
            <w:shd w:val="clear" w:color="auto" w:fill="auto"/>
            <w:noWrap/>
            <w:vAlign w:val="center"/>
            <w:hideMark/>
          </w:tcPr>
          <w:p w14:paraId="1BDB8099" w14:textId="1B9D70F2" w:rsidR="00247A56" w:rsidRPr="003F7852" w:rsidRDefault="00B25D08"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color w:val="000000"/>
                <w:sz w:val="24"/>
                <w:szCs w:val="24"/>
                <w:lang w:val="sq-AL"/>
              </w:rPr>
              <w:t>Sektori i Statistikave Afatshkurtra, Drejtoria e Statist</w:t>
            </w:r>
            <w:r w:rsidR="00B517F1">
              <w:rPr>
                <w:rFonts w:ascii="Times New Roman" w:hAnsi="Times New Roman" w:cs="Times New Roman"/>
                <w:noProof/>
                <w:color w:val="000000"/>
                <w:sz w:val="24"/>
                <w:szCs w:val="24"/>
                <w:lang w:val="sq-AL"/>
              </w:rPr>
              <w:t>i</w:t>
            </w:r>
            <w:r w:rsidRPr="003F7852">
              <w:rPr>
                <w:rFonts w:ascii="Times New Roman" w:hAnsi="Times New Roman" w:cs="Times New Roman"/>
                <w:noProof/>
                <w:color w:val="000000"/>
                <w:sz w:val="24"/>
                <w:szCs w:val="24"/>
                <w:lang w:val="sq-AL"/>
              </w:rPr>
              <w:t>kave Ekonomike</w:t>
            </w:r>
          </w:p>
        </w:tc>
      </w:tr>
      <w:tr w:rsidR="00B15F7B" w:rsidRPr="003F7852" w14:paraId="591461E3" w14:textId="77777777" w:rsidTr="00C50933">
        <w:trPr>
          <w:trHeight w:val="567"/>
        </w:trPr>
        <w:tc>
          <w:tcPr>
            <w:tcW w:w="2518" w:type="dxa"/>
            <w:shd w:val="clear" w:color="auto" w:fill="FFFFCC"/>
            <w:vAlign w:val="center"/>
            <w:hideMark/>
          </w:tcPr>
          <w:p w14:paraId="31C8DF91"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1.3. Personi i kontaktit</w:t>
            </w:r>
          </w:p>
        </w:tc>
        <w:tc>
          <w:tcPr>
            <w:tcW w:w="8164" w:type="dxa"/>
            <w:shd w:val="clear" w:color="auto" w:fill="auto"/>
            <w:noWrap/>
            <w:vAlign w:val="center"/>
            <w:hideMark/>
          </w:tcPr>
          <w:p w14:paraId="02357D4B" w14:textId="77777777" w:rsidR="00247A56" w:rsidRPr="003F7852" w:rsidRDefault="00B25D08"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color w:val="000000"/>
                <w:sz w:val="24"/>
                <w:szCs w:val="24"/>
                <w:lang w:val="sq-AL"/>
              </w:rPr>
              <w:t>Ervisa Bushati</w:t>
            </w:r>
          </w:p>
        </w:tc>
      </w:tr>
      <w:tr w:rsidR="00B15F7B" w:rsidRPr="003F7852" w14:paraId="041722B1" w14:textId="77777777" w:rsidTr="00C50933">
        <w:trPr>
          <w:trHeight w:val="567"/>
        </w:trPr>
        <w:tc>
          <w:tcPr>
            <w:tcW w:w="2518" w:type="dxa"/>
            <w:shd w:val="clear" w:color="auto" w:fill="FFFFCC"/>
            <w:vAlign w:val="center"/>
            <w:hideMark/>
          </w:tcPr>
          <w:p w14:paraId="7DFC31C8"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1.4. Funksioni i personit të kontaktit</w:t>
            </w:r>
          </w:p>
        </w:tc>
        <w:tc>
          <w:tcPr>
            <w:tcW w:w="8164" w:type="dxa"/>
            <w:shd w:val="clear" w:color="auto" w:fill="auto"/>
            <w:noWrap/>
            <w:vAlign w:val="center"/>
            <w:hideMark/>
          </w:tcPr>
          <w:p w14:paraId="4F0EC136" w14:textId="77777777" w:rsidR="00247A56" w:rsidRPr="003F7852" w:rsidRDefault="00B25D08"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color w:val="000000"/>
                <w:sz w:val="24"/>
                <w:szCs w:val="24"/>
                <w:lang w:val="sq-AL"/>
              </w:rPr>
              <w:t>Specialist i Sektorit të Statistikave Afatshkurtra</w:t>
            </w:r>
          </w:p>
        </w:tc>
      </w:tr>
      <w:tr w:rsidR="00B15F7B" w:rsidRPr="003F7852" w14:paraId="4ED782A2" w14:textId="77777777" w:rsidTr="00C50933">
        <w:trPr>
          <w:trHeight w:val="567"/>
        </w:trPr>
        <w:tc>
          <w:tcPr>
            <w:tcW w:w="2518" w:type="dxa"/>
            <w:shd w:val="clear" w:color="auto" w:fill="FFFFCC"/>
            <w:vAlign w:val="center"/>
            <w:hideMark/>
          </w:tcPr>
          <w:p w14:paraId="069A8D43"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1.5. Adresa postare</w:t>
            </w:r>
          </w:p>
        </w:tc>
        <w:tc>
          <w:tcPr>
            <w:tcW w:w="8164" w:type="dxa"/>
            <w:shd w:val="clear" w:color="auto" w:fill="auto"/>
            <w:noWrap/>
            <w:vAlign w:val="center"/>
            <w:hideMark/>
          </w:tcPr>
          <w:p w14:paraId="7229F637" w14:textId="77777777" w:rsidR="00247A56" w:rsidRPr="003F7852" w:rsidRDefault="00247A56"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color w:val="000000"/>
                <w:sz w:val="24"/>
                <w:szCs w:val="24"/>
                <w:lang w:val="sq-AL"/>
              </w:rPr>
              <w:t>Blv. “Zhan d’Ark”, Nr.3 Tiranë, Shqipëri</w:t>
            </w:r>
          </w:p>
        </w:tc>
      </w:tr>
      <w:tr w:rsidR="00B15F7B" w:rsidRPr="003F7852" w14:paraId="390AFF28" w14:textId="77777777" w:rsidTr="00C50933">
        <w:trPr>
          <w:trHeight w:val="567"/>
        </w:trPr>
        <w:tc>
          <w:tcPr>
            <w:tcW w:w="2518" w:type="dxa"/>
            <w:shd w:val="clear" w:color="auto" w:fill="FFFFCC"/>
            <w:vAlign w:val="center"/>
            <w:hideMark/>
          </w:tcPr>
          <w:p w14:paraId="3CBB54FF"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1.6. Adresa elektronike (e-mail)</w:t>
            </w:r>
          </w:p>
        </w:tc>
        <w:tc>
          <w:tcPr>
            <w:tcW w:w="8164" w:type="dxa"/>
            <w:shd w:val="clear" w:color="auto" w:fill="auto"/>
            <w:noWrap/>
            <w:vAlign w:val="center"/>
            <w:hideMark/>
          </w:tcPr>
          <w:p w14:paraId="79B893CC" w14:textId="77777777" w:rsidR="00247A56" w:rsidRPr="003F7852" w:rsidRDefault="0093021A" w:rsidP="00430D9B">
            <w:pPr>
              <w:spacing w:after="0"/>
              <w:rPr>
                <w:rFonts w:ascii="Times New Roman" w:hAnsi="Times New Roman" w:cs="Times New Roman"/>
                <w:noProof/>
                <w:color w:val="0000FF"/>
                <w:sz w:val="24"/>
                <w:szCs w:val="24"/>
                <w:u w:val="single"/>
                <w:lang w:val="sq-AL"/>
              </w:rPr>
            </w:pPr>
            <w:hyperlink r:id="rId9" w:history="1">
              <w:r w:rsidR="00B25D08" w:rsidRPr="003F7852">
                <w:rPr>
                  <w:rFonts w:ascii="&amp;quot" w:hAnsi="&amp;quot"/>
                  <w:color w:val="0000FF"/>
                  <w:u w:val="single"/>
                  <w:lang w:val="sq-AL"/>
                </w:rPr>
                <w:t>ebushati@instat.gov.al</w:t>
              </w:r>
            </w:hyperlink>
          </w:p>
        </w:tc>
      </w:tr>
      <w:tr w:rsidR="00B15F7B" w:rsidRPr="003F7852" w14:paraId="32A173DF" w14:textId="77777777" w:rsidTr="00C50933">
        <w:trPr>
          <w:trHeight w:val="567"/>
        </w:trPr>
        <w:tc>
          <w:tcPr>
            <w:tcW w:w="2518" w:type="dxa"/>
            <w:shd w:val="clear" w:color="auto" w:fill="FFFFCC"/>
            <w:vAlign w:val="center"/>
            <w:hideMark/>
          </w:tcPr>
          <w:p w14:paraId="75EB79B8"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1.7. Numri i telefonit</w:t>
            </w:r>
          </w:p>
        </w:tc>
        <w:tc>
          <w:tcPr>
            <w:tcW w:w="8164" w:type="dxa"/>
            <w:shd w:val="clear" w:color="auto" w:fill="auto"/>
            <w:noWrap/>
            <w:vAlign w:val="center"/>
            <w:hideMark/>
          </w:tcPr>
          <w:p w14:paraId="65A98007" w14:textId="77777777" w:rsidR="00247A56" w:rsidRPr="003F7852" w:rsidRDefault="00B25D08"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sz w:val="24"/>
                <w:szCs w:val="24"/>
                <w:lang w:val="sq-AL"/>
              </w:rPr>
              <w:t>+(355) 4 233356 / 233/ 240</w:t>
            </w:r>
          </w:p>
        </w:tc>
      </w:tr>
      <w:tr w:rsidR="00B15F7B" w:rsidRPr="003F7852" w14:paraId="37BF3017" w14:textId="77777777" w:rsidTr="00C50933">
        <w:trPr>
          <w:trHeight w:val="567"/>
        </w:trPr>
        <w:tc>
          <w:tcPr>
            <w:tcW w:w="2518" w:type="dxa"/>
            <w:shd w:val="clear" w:color="auto" w:fill="FFFFCC"/>
            <w:vAlign w:val="center"/>
            <w:hideMark/>
          </w:tcPr>
          <w:p w14:paraId="76E6F7FE"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1.8. Numri i faksit</w:t>
            </w:r>
          </w:p>
        </w:tc>
        <w:tc>
          <w:tcPr>
            <w:tcW w:w="8164" w:type="dxa"/>
            <w:shd w:val="clear" w:color="auto" w:fill="auto"/>
            <w:noWrap/>
            <w:vAlign w:val="center"/>
            <w:hideMark/>
          </w:tcPr>
          <w:p w14:paraId="15C4BE24" w14:textId="77777777" w:rsidR="00247A56" w:rsidRPr="003F7852" w:rsidRDefault="00B25D08" w:rsidP="00430D9B">
            <w:pPr>
              <w:spacing w:after="0"/>
              <w:rPr>
                <w:rFonts w:ascii="Times New Roman" w:hAnsi="Times New Roman" w:cs="Times New Roman"/>
                <w:noProof/>
                <w:color w:val="000000"/>
                <w:sz w:val="24"/>
                <w:szCs w:val="24"/>
                <w:lang w:val="sq-AL"/>
              </w:rPr>
            </w:pPr>
            <w:r w:rsidRPr="003F7852">
              <w:rPr>
                <w:rFonts w:ascii="Times New Roman" w:hAnsi="Times New Roman" w:cs="Times New Roman"/>
                <w:noProof/>
                <w:sz w:val="24"/>
                <w:szCs w:val="24"/>
                <w:lang w:val="sq-AL"/>
              </w:rPr>
              <w:t>+(355) 4 228300</w:t>
            </w:r>
          </w:p>
        </w:tc>
      </w:tr>
      <w:tr w:rsidR="00247A56" w:rsidRPr="003F7852" w14:paraId="12C12AC9" w14:textId="77777777" w:rsidTr="00C50933">
        <w:trPr>
          <w:trHeight w:val="567"/>
        </w:trPr>
        <w:tc>
          <w:tcPr>
            <w:tcW w:w="10682" w:type="dxa"/>
            <w:gridSpan w:val="2"/>
            <w:shd w:val="clear" w:color="auto" w:fill="FBD4B4" w:themeFill="accent6" w:themeFillTint="66"/>
            <w:noWrap/>
            <w:vAlign w:val="center"/>
            <w:hideMark/>
          </w:tcPr>
          <w:p w14:paraId="3CA4A0FF" w14:textId="77777777" w:rsidR="00247A56" w:rsidRPr="003F7852"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69204575"/>
            <w:r w:rsidRPr="003F7852">
              <w:rPr>
                <w:rFonts w:ascii="Times New Roman" w:eastAsia="Times New Roman" w:hAnsi="Times New Roman" w:cs="Times New Roman"/>
                <w:noProof/>
                <w:color w:val="000000" w:themeColor="text1"/>
                <w:sz w:val="24"/>
                <w:szCs w:val="24"/>
                <w:lang w:val="sq-AL" w:eastAsia="sq-AL"/>
              </w:rPr>
              <w:t>2. Përditësimi i metadatave</w:t>
            </w:r>
            <w:bookmarkEnd w:id="2"/>
          </w:p>
        </w:tc>
      </w:tr>
      <w:tr w:rsidR="00B15F7B" w:rsidRPr="003F7852" w14:paraId="53B8AE92" w14:textId="77777777" w:rsidTr="00C50933">
        <w:trPr>
          <w:trHeight w:val="567"/>
        </w:trPr>
        <w:tc>
          <w:tcPr>
            <w:tcW w:w="2518" w:type="dxa"/>
            <w:shd w:val="clear" w:color="auto" w:fill="FFFFCC"/>
            <w:noWrap/>
            <w:vAlign w:val="center"/>
            <w:hideMark/>
          </w:tcPr>
          <w:p w14:paraId="179313D3"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2.1. Çertifikimi i fundit i metadatës</w:t>
            </w:r>
          </w:p>
        </w:tc>
        <w:tc>
          <w:tcPr>
            <w:tcW w:w="8164" w:type="dxa"/>
            <w:shd w:val="clear" w:color="auto" w:fill="auto"/>
            <w:noWrap/>
            <w:vAlign w:val="center"/>
            <w:hideMark/>
          </w:tcPr>
          <w:p w14:paraId="006C3EFA" w14:textId="0DA55837" w:rsidR="00247A56" w:rsidRPr="003F7852" w:rsidRDefault="00FB1E98" w:rsidP="00FB1E98">
            <w:pPr>
              <w:spacing w:after="0"/>
              <w:rPr>
                <w:rFonts w:ascii="Times New Roman" w:hAnsi="Times New Roman" w:cs="Times New Roman"/>
                <w:noProof/>
                <w:color w:val="000000"/>
                <w:sz w:val="24"/>
                <w:szCs w:val="24"/>
                <w:lang w:val="sq-AL"/>
              </w:rPr>
            </w:pPr>
            <w:r>
              <w:rPr>
                <w:rFonts w:ascii="Times New Roman" w:hAnsi="Times New Roman" w:cs="Times New Roman"/>
                <w:noProof/>
                <w:sz w:val="24"/>
                <w:szCs w:val="24"/>
                <w:lang w:val="sq-AL"/>
              </w:rPr>
              <w:t>19.02</w:t>
            </w:r>
            <w:r w:rsidRPr="003F7852">
              <w:rPr>
                <w:rFonts w:ascii="Times New Roman" w:hAnsi="Times New Roman" w:cs="Times New Roman"/>
                <w:noProof/>
                <w:sz w:val="24"/>
                <w:szCs w:val="24"/>
                <w:lang w:val="sq-AL"/>
              </w:rPr>
              <w:t>.202</w:t>
            </w:r>
            <w:r>
              <w:rPr>
                <w:rFonts w:ascii="Times New Roman" w:hAnsi="Times New Roman" w:cs="Times New Roman"/>
                <w:noProof/>
                <w:sz w:val="24"/>
                <w:szCs w:val="24"/>
                <w:lang w:val="sq-AL"/>
              </w:rPr>
              <w:t>1</w:t>
            </w:r>
          </w:p>
        </w:tc>
      </w:tr>
      <w:tr w:rsidR="00B15F7B" w:rsidRPr="003F7852" w14:paraId="5704A4B5" w14:textId="77777777" w:rsidTr="00C50933">
        <w:trPr>
          <w:trHeight w:val="567"/>
        </w:trPr>
        <w:tc>
          <w:tcPr>
            <w:tcW w:w="2518" w:type="dxa"/>
            <w:shd w:val="clear" w:color="auto" w:fill="FFFFCC"/>
            <w:noWrap/>
            <w:vAlign w:val="center"/>
            <w:hideMark/>
          </w:tcPr>
          <w:p w14:paraId="6F0E0841"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2.2. Publikimi i fundit i metadatës</w:t>
            </w:r>
          </w:p>
        </w:tc>
        <w:tc>
          <w:tcPr>
            <w:tcW w:w="8164" w:type="dxa"/>
            <w:shd w:val="clear" w:color="auto" w:fill="auto"/>
            <w:noWrap/>
            <w:vAlign w:val="center"/>
            <w:hideMark/>
          </w:tcPr>
          <w:p w14:paraId="085F9C87" w14:textId="7B02B7A7" w:rsidR="00247A56" w:rsidRPr="003F7852" w:rsidRDefault="00FB1E98" w:rsidP="00430D9B">
            <w:pPr>
              <w:spacing w:after="0"/>
              <w:rPr>
                <w:rFonts w:ascii="Times New Roman" w:hAnsi="Times New Roman" w:cs="Times New Roman"/>
                <w:noProof/>
                <w:color w:val="000000"/>
                <w:sz w:val="24"/>
                <w:szCs w:val="24"/>
                <w:lang w:val="sq-AL"/>
              </w:rPr>
            </w:pPr>
            <w:r>
              <w:rPr>
                <w:rFonts w:ascii="Times New Roman" w:hAnsi="Times New Roman" w:cs="Times New Roman"/>
                <w:noProof/>
                <w:sz w:val="24"/>
                <w:szCs w:val="24"/>
                <w:lang w:val="sq-AL"/>
              </w:rPr>
              <w:t>19.11</w:t>
            </w:r>
            <w:r w:rsidRPr="003F7852">
              <w:rPr>
                <w:rFonts w:ascii="Times New Roman" w:hAnsi="Times New Roman" w:cs="Times New Roman"/>
                <w:noProof/>
                <w:sz w:val="24"/>
                <w:szCs w:val="24"/>
                <w:lang w:val="sq-AL"/>
              </w:rPr>
              <w:t>.2020</w:t>
            </w:r>
          </w:p>
        </w:tc>
      </w:tr>
      <w:tr w:rsidR="00B15F7B" w:rsidRPr="003F7852" w14:paraId="7A25C3C5" w14:textId="77777777" w:rsidTr="00C50933">
        <w:trPr>
          <w:trHeight w:val="567"/>
        </w:trPr>
        <w:tc>
          <w:tcPr>
            <w:tcW w:w="2518" w:type="dxa"/>
            <w:shd w:val="clear" w:color="auto" w:fill="FFFFCC"/>
            <w:noWrap/>
            <w:vAlign w:val="center"/>
            <w:hideMark/>
          </w:tcPr>
          <w:p w14:paraId="682FA066" w14:textId="77777777" w:rsidR="00247A56" w:rsidRPr="003F7852" w:rsidRDefault="00247A56"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2.3. Përditësimi i fundit i metadatës</w:t>
            </w:r>
          </w:p>
        </w:tc>
        <w:tc>
          <w:tcPr>
            <w:tcW w:w="8164" w:type="dxa"/>
            <w:shd w:val="clear" w:color="auto" w:fill="auto"/>
            <w:noWrap/>
            <w:vAlign w:val="center"/>
            <w:hideMark/>
          </w:tcPr>
          <w:p w14:paraId="0629516F" w14:textId="33808855" w:rsidR="00247A56" w:rsidRPr="003F7852" w:rsidRDefault="00AF0B2A" w:rsidP="00FB1E98">
            <w:pPr>
              <w:spacing w:after="0"/>
              <w:rPr>
                <w:rFonts w:ascii="Times New Roman" w:hAnsi="Times New Roman" w:cs="Times New Roman"/>
                <w:noProof/>
                <w:color w:val="000000"/>
                <w:sz w:val="24"/>
                <w:szCs w:val="24"/>
                <w:lang w:val="sq-AL"/>
              </w:rPr>
            </w:pPr>
            <w:r w:rsidRPr="00AF0B2A">
              <w:rPr>
                <w:rFonts w:ascii="Times New Roman" w:hAnsi="Times New Roman" w:cs="Times New Roman"/>
                <w:noProof/>
                <w:sz w:val="24"/>
                <w:szCs w:val="24"/>
                <w:lang w:val="sq-AL"/>
              </w:rPr>
              <w:t>19</w:t>
            </w:r>
            <w:r w:rsidR="00B25D08" w:rsidRPr="00AF0B2A">
              <w:rPr>
                <w:rFonts w:ascii="Times New Roman" w:hAnsi="Times New Roman" w:cs="Times New Roman"/>
                <w:noProof/>
                <w:sz w:val="24"/>
                <w:szCs w:val="24"/>
                <w:lang w:val="sq-AL"/>
              </w:rPr>
              <w:t>.</w:t>
            </w:r>
            <w:r w:rsidR="00FB1E98">
              <w:rPr>
                <w:rFonts w:ascii="Times New Roman" w:hAnsi="Times New Roman" w:cs="Times New Roman"/>
                <w:noProof/>
                <w:sz w:val="24"/>
                <w:szCs w:val="24"/>
                <w:lang w:val="sq-AL"/>
              </w:rPr>
              <w:t>02</w:t>
            </w:r>
            <w:r w:rsidR="00B25D08" w:rsidRPr="00AF0B2A">
              <w:rPr>
                <w:rFonts w:ascii="Times New Roman" w:hAnsi="Times New Roman" w:cs="Times New Roman"/>
                <w:noProof/>
                <w:sz w:val="24"/>
                <w:szCs w:val="24"/>
                <w:lang w:val="sq-AL"/>
              </w:rPr>
              <w:t>.202</w:t>
            </w:r>
            <w:r w:rsidR="00FB1E98">
              <w:rPr>
                <w:rFonts w:ascii="Times New Roman" w:hAnsi="Times New Roman" w:cs="Times New Roman"/>
                <w:noProof/>
                <w:sz w:val="24"/>
                <w:szCs w:val="24"/>
                <w:lang w:val="sq-AL"/>
              </w:rPr>
              <w:t>1</w:t>
            </w:r>
            <w:r w:rsidR="00AA35F2">
              <w:rPr>
                <w:rFonts w:ascii="Times New Roman" w:hAnsi="Times New Roman" w:cs="Times New Roman"/>
                <w:noProof/>
                <w:sz w:val="24"/>
                <w:szCs w:val="24"/>
                <w:lang w:val="sq-AL"/>
              </w:rPr>
              <w:t xml:space="preserve"> </w:t>
            </w:r>
          </w:p>
        </w:tc>
      </w:tr>
      <w:tr w:rsidR="00247A56" w:rsidRPr="003F7852" w14:paraId="0FD2397D" w14:textId="77777777" w:rsidTr="00C50933">
        <w:trPr>
          <w:trHeight w:val="567"/>
        </w:trPr>
        <w:tc>
          <w:tcPr>
            <w:tcW w:w="10682" w:type="dxa"/>
            <w:gridSpan w:val="2"/>
            <w:shd w:val="clear" w:color="auto" w:fill="FBD4B4" w:themeFill="accent6" w:themeFillTint="66"/>
            <w:noWrap/>
            <w:vAlign w:val="center"/>
            <w:hideMark/>
          </w:tcPr>
          <w:p w14:paraId="15D46277" w14:textId="77777777" w:rsidR="00247A56" w:rsidRPr="003F7852"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69204576"/>
            <w:r w:rsidRPr="003F7852">
              <w:rPr>
                <w:rFonts w:ascii="Times New Roman" w:eastAsia="Times New Roman" w:hAnsi="Times New Roman" w:cs="Times New Roman"/>
                <w:noProof/>
                <w:color w:val="000000" w:themeColor="text1"/>
                <w:sz w:val="24"/>
                <w:szCs w:val="24"/>
                <w:lang w:val="sq-AL" w:eastAsia="sq-AL"/>
              </w:rPr>
              <w:t>3. Paraqitja statistikore</w:t>
            </w:r>
            <w:bookmarkEnd w:id="3"/>
          </w:p>
        </w:tc>
      </w:tr>
      <w:tr w:rsidR="00E43898" w:rsidRPr="003F7852" w14:paraId="4B8BB33B" w14:textId="77777777" w:rsidTr="00F50383">
        <w:trPr>
          <w:trHeight w:val="2429"/>
        </w:trPr>
        <w:tc>
          <w:tcPr>
            <w:tcW w:w="2518" w:type="dxa"/>
            <w:shd w:val="clear" w:color="auto" w:fill="FFFFCC"/>
            <w:noWrap/>
            <w:vAlign w:val="center"/>
            <w:hideMark/>
          </w:tcPr>
          <w:p w14:paraId="0EF4241D"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3.1. Përshkrimi i të dhënave</w:t>
            </w:r>
          </w:p>
        </w:tc>
        <w:tc>
          <w:tcPr>
            <w:tcW w:w="8164" w:type="dxa"/>
            <w:shd w:val="clear" w:color="auto" w:fill="auto"/>
            <w:vAlign w:val="center"/>
          </w:tcPr>
          <w:p w14:paraId="471A2CC0" w14:textId="69119D67" w:rsidR="00B25D08" w:rsidRPr="003F7852" w:rsidRDefault="00B25D08"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Qëllimi i vrojtimit mbi strukturat akomoduese dhe</w:t>
            </w:r>
            <w:r w:rsidR="00D270E0">
              <w:rPr>
                <w:rFonts w:ascii="Times New Roman" w:eastAsia="Times New Roman" w:hAnsi="Times New Roman" w:cs="Times New Roman"/>
                <w:noProof/>
                <w:color w:val="000000"/>
                <w:sz w:val="24"/>
                <w:szCs w:val="24"/>
                <w:lang w:val="sq-AL" w:eastAsia="sq-AL"/>
              </w:rPr>
              <w:t xml:space="preserve"> njësitë</w:t>
            </w:r>
            <w:r w:rsidRPr="003F7852">
              <w:rPr>
                <w:rFonts w:ascii="Times New Roman" w:eastAsia="Times New Roman" w:hAnsi="Times New Roman" w:cs="Times New Roman"/>
                <w:noProof/>
                <w:color w:val="000000"/>
                <w:sz w:val="24"/>
                <w:szCs w:val="24"/>
                <w:lang w:val="sq-AL" w:eastAsia="sq-AL"/>
              </w:rPr>
              <w:t xml:space="preserve"> </w:t>
            </w:r>
            <w:r w:rsidR="00D270E0">
              <w:rPr>
                <w:rFonts w:ascii="Times New Roman" w:eastAsia="Times New Roman" w:hAnsi="Times New Roman" w:cs="Times New Roman"/>
                <w:noProof/>
                <w:color w:val="000000"/>
                <w:sz w:val="24"/>
                <w:szCs w:val="24"/>
                <w:lang w:val="sq-AL" w:eastAsia="sq-AL"/>
              </w:rPr>
              <w:t>e</w:t>
            </w:r>
            <w:r w:rsidRPr="003F7852">
              <w:rPr>
                <w:rFonts w:ascii="Times New Roman" w:eastAsia="Times New Roman" w:hAnsi="Times New Roman" w:cs="Times New Roman"/>
                <w:noProof/>
                <w:color w:val="000000"/>
                <w:sz w:val="24"/>
                <w:szCs w:val="24"/>
                <w:lang w:val="sq-AL" w:eastAsia="sq-AL"/>
              </w:rPr>
              <w:t xml:space="preserve"> tjera të ngjashme me to është monitorimi i aktiviteteve turistike; të mbledhë tregues të rëndësishëm për ofertën turistike; trendet e netë qëndrimeve dhe vizitorëve, dhomat, shtretërit, etj; për të llogaritur treguesit statistikorë mbi ofertën e akomodimit të turizmit shqiptar në periudha mujore, të cilat janë të rëndësishme për të përcaktuar trendin e zhvillimit të kapacitetit në sektorin të turizmit. Të dhënat mblidhen çdo muaj përmes pyetësorit "Anketa e Strukturave të Akomoduese".</w:t>
            </w:r>
          </w:p>
          <w:p w14:paraId="52338EC7" w14:textId="4977F843" w:rsidR="00B25D08" w:rsidRPr="003F7852" w:rsidRDefault="00B25D08"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Variablat e mbledhura nga </w:t>
            </w:r>
            <w:r w:rsidR="00851C1F" w:rsidRPr="003F7852">
              <w:rPr>
                <w:rFonts w:ascii="Times New Roman" w:eastAsia="Times New Roman" w:hAnsi="Times New Roman" w:cs="Times New Roman"/>
                <w:noProof/>
                <w:color w:val="000000"/>
                <w:sz w:val="24"/>
                <w:szCs w:val="24"/>
                <w:lang w:val="sq-AL" w:eastAsia="sq-AL"/>
              </w:rPr>
              <w:t>vro</w:t>
            </w:r>
            <w:r w:rsidR="00CA7C7B">
              <w:rPr>
                <w:rFonts w:ascii="Times New Roman" w:eastAsia="Times New Roman" w:hAnsi="Times New Roman" w:cs="Times New Roman"/>
                <w:noProof/>
                <w:color w:val="000000"/>
                <w:sz w:val="24"/>
                <w:szCs w:val="24"/>
                <w:lang w:val="sq-AL" w:eastAsia="sq-AL"/>
              </w:rPr>
              <w:t>j</w:t>
            </w:r>
            <w:r w:rsidR="00851C1F" w:rsidRPr="003F7852">
              <w:rPr>
                <w:rFonts w:ascii="Times New Roman" w:eastAsia="Times New Roman" w:hAnsi="Times New Roman" w:cs="Times New Roman"/>
                <w:noProof/>
                <w:color w:val="000000"/>
                <w:sz w:val="24"/>
                <w:szCs w:val="24"/>
                <w:lang w:val="sq-AL" w:eastAsia="sq-AL"/>
              </w:rPr>
              <w:t>timi</w:t>
            </w:r>
            <w:r w:rsidRPr="003F7852">
              <w:rPr>
                <w:rFonts w:ascii="Times New Roman" w:eastAsia="Times New Roman" w:hAnsi="Times New Roman" w:cs="Times New Roman"/>
                <w:noProof/>
                <w:color w:val="000000"/>
                <w:sz w:val="24"/>
                <w:szCs w:val="24"/>
                <w:lang w:val="sq-AL" w:eastAsia="sq-AL"/>
              </w:rPr>
              <w:t xml:space="preserve"> janë si më poshtë:</w:t>
            </w:r>
          </w:p>
          <w:p w14:paraId="1EF937A5"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Numri i vizitorëve rezident;</w:t>
            </w:r>
          </w:p>
          <w:p w14:paraId="59D87621"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Numri i vizitorëve jo – rezident;</w:t>
            </w:r>
          </w:p>
          <w:p w14:paraId="6038AAE0"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Netët e qëndrimit nga vizitorët rezident;</w:t>
            </w:r>
          </w:p>
          <w:p w14:paraId="790039E0"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Netët e qëndrimit nga vizitorët jo – rezident;</w:t>
            </w:r>
          </w:p>
          <w:p w14:paraId="18B932CD"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Dhomat/kampet e zëna nga vizitorët rezident;</w:t>
            </w:r>
          </w:p>
          <w:p w14:paraId="13DE8FA8"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Dhomat/kampet e zëna nga vizitorët jo - rezident;</w:t>
            </w:r>
          </w:p>
          <w:p w14:paraId="5C39E7D0"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Shtretër të zënë nga vizitorët rezident;</w:t>
            </w:r>
          </w:p>
          <w:p w14:paraId="347EF0DA"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lastRenderedPageBreak/>
              <w:t>Shtretër të zënë nga vizitorët jo - rezident;</w:t>
            </w:r>
          </w:p>
          <w:p w14:paraId="04EAB051"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Numri i dhomave/kampeve gjithsej;</w:t>
            </w:r>
          </w:p>
          <w:p w14:paraId="3A7AD417" w14:textId="77777777"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Numri i shtretërve gjithsej;</w:t>
            </w:r>
          </w:p>
          <w:p w14:paraId="152746D5" w14:textId="5A947A3E" w:rsidR="00B25D08" w:rsidRPr="003F7852" w:rsidRDefault="00B25D08" w:rsidP="00851C1F">
            <w:pPr>
              <w:pStyle w:val="ListParagraph"/>
              <w:numPr>
                <w:ilvl w:val="0"/>
                <w:numId w:val="34"/>
              </w:numPr>
              <w:spacing w:before="240" w:after="200"/>
              <w:jc w:val="both"/>
              <w:rPr>
                <w:noProof/>
                <w:color w:val="000000"/>
                <w:lang w:val="sq-AL" w:eastAsia="sq-AL"/>
              </w:rPr>
            </w:pPr>
            <w:r w:rsidRPr="003F7852">
              <w:rPr>
                <w:noProof/>
                <w:color w:val="000000"/>
                <w:lang w:val="sq-AL" w:eastAsia="sq-AL"/>
              </w:rPr>
              <w:t xml:space="preserve">Numri i ditëve </w:t>
            </w:r>
            <w:r w:rsidR="00D270E0">
              <w:rPr>
                <w:noProof/>
                <w:color w:val="000000"/>
                <w:lang w:val="sq-AL" w:eastAsia="sq-AL"/>
              </w:rPr>
              <w:t>të mbyllura</w:t>
            </w:r>
            <w:r w:rsidRPr="003F7852">
              <w:rPr>
                <w:noProof/>
                <w:color w:val="000000"/>
                <w:lang w:val="sq-AL" w:eastAsia="sq-AL"/>
              </w:rPr>
              <w:t xml:space="preserve"> gjatë muajit të referencës;</w:t>
            </w:r>
          </w:p>
          <w:p w14:paraId="6ED3B9CC" w14:textId="77777777" w:rsidR="00E43898" w:rsidRPr="003F7852" w:rsidRDefault="003B7311"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Mbledhja e këtyre treguesve dhe llogaritja e niveleve të kapacitetit dhe shfrytëzimit realizohen </w:t>
            </w:r>
            <w:r w:rsidR="00851C1F" w:rsidRPr="003F7852">
              <w:rPr>
                <w:rFonts w:ascii="Times New Roman" w:eastAsia="Times New Roman" w:hAnsi="Times New Roman" w:cs="Times New Roman"/>
                <w:noProof/>
                <w:color w:val="000000"/>
                <w:sz w:val="24"/>
                <w:szCs w:val="24"/>
                <w:lang w:val="sq-AL" w:eastAsia="sq-AL"/>
              </w:rPr>
              <w:t xml:space="preserve">pjesërisht në </w:t>
            </w:r>
            <w:r w:rsidRPr="003F7852">
              <w:rPr>
                <w:rFonts w:ascii="Times New Roman" w:eastAsia="Times New Roman" w:hAnsi="Times New Roman" w:cs="Times New Roman"/>
                <w:noProof/>
                <w:color w:val="000000"/>
                <w:sz w:val="24"/>
                <w:szCs w:val="24"/>
                <w:lang w:val="sq-AL" w:eastAsia="sq-AL"/>
              </w:rPr>
              <w:t xml:space="preserve">përputhje me Aneksin I “Oferta turistike-Statistikat e Akomodimit” të </w:t>
            </w:r>
            <w:hyperlink r:id="rId10" w:history="1">
              <w:r w:rsidRPr="003F7852">
                <w:rPr>
                  <w:rStyle w:val="Hyperlink"/>
                  <w:rFonts w:ascii="Times New Roman" w:eastAsia="Times New Roman" w:hAnsi="Times New Roman" w:cs="Times New Roman"/>
                  <w:noProof/>
                  <w:sz w:val="24"/>
                  <w:szCs w:val="24"/>
                  <w:lang w:val="sq-AL" w:eastAsia="sq-AL"/>
                </w:rPr>
                <w:t>Rregullores së Bashkimit Europian (EU) no. 692/2011</w:t>
              </w:r>
            </w:hyperlink>
            <w:r w:rsidRPr="003F7852">
              <w:rPr>
                <w:rFonts w:ascii="Times New Roman" w:eastAsia="Times New Roman" w:hAnsi="Times New Roman" w:cs="Times New Roman"/>
                <w:noProof/>
                <w:color w:val="000000"/>
                <w:sz w:val="24"/>
                <w:szCs w:val="24"/>
                <w:lang w:val="sq-AL" w:eastAsia="sq-AL"/>
              </w:rPr>
              <w:t xml:space="preserve"> .</w:t>
            </w:r>
          </w:p>
        </w:tc>
      </w:tr>
      <w:tr w:rsidR="00E43898" w:rsidRPr="003F7852" w14:paraId="3714BACF" w14:textId="77777777" w:rsidTr="00F50383">
        <w:trPr>
          <w:trHeight w:val="899"/>
        </w:trPr>
        <w:tc>
          <w:tcPr>
            <w:tcW w:w="2518" w:type="dxa"/>
            <w:shd w:val="clear" w:color="auto" w:fill="FFFFCC"/>
            <w:noWrap/>
            <w:vAlign w:val="center"/>
            <w:hideMark/>
          </w:tcPr>
          <w:p w14:paraId="4967BC78"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3.2. Sistemi i klasifikimit</w:t>
            </w:r>
          </w:p>
        </w:tc>
        <w:tc>
          <w:tcPr>
            <w:tcW w:w="8164" w:type="dxa"/>
            <w:shd w:val="clear" w:color="auto" w:fill="auto"/>
            <w:vAlign w:val="center"/>
          </w:tcPr>
          <w:p w14:paraId="2BB61FDC" w14:textId="77777777" w:rsidR="002E09E1" w:rsidRPr="00C521B7" w:rsidRDefault="0093021A" w:rsidP="00851C1F">
            <w:pPr>
              <w:spacing w:before="240"/>
              <w:jc w:val="both"/>
              <w:rPr>
                <w:rFonts w:ascii="Times New Roman" w:eastAsia="Times New Roman" w:hAnsi="Times New Roman" w:cs="Times New Roman"/>
                <w:noProof/>
                <w:color w:val="000000"/>
                <w:sz w:val="24"/>
                <w:szCs w:val="24"/>
                <w:u w:val="single"/>
                <w:lang w:val="sq-AL" w:eastAsia="sq-AL"/>
              </w:rPr>
            </w:pPr>
            <w:hyperlink r:id="rId11" w:history="1">
              <w:r w:rsidR="002E09E1" w:rsidRPr="00C521B7">
                <w:rPr>
                  <w:rStyle w:val="Hyperlink"/>
                  <w:rFonts w:ascii="Times New Roman" w:eastAsia="Times New Roman" w:hAnsi="Times New Roman" w:cs="Times New Roman"/>
                  <w:noProof/>
                  <w:sz w:val="24"/>
                  <w:szCs w:val="24"/>
                  <w:lang w:val="sq-AL" w:eastAsia="sq-AL"/>
                </w:rPr>
                <w:t>NVE Rev. 2</w:t>
              </w:r>
            </w:hyperlink>
          </w:p>
          <w:p w14:paraId="04F113B7"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Fonts w:ascii="Times New Roman" w:eastAsia="Times New Roman" w:hAnsi="Times New Roman" w:cs="Times New Roman"/>
                <w:noProof/>
                <w:color w:val="000000"/>
                <w:sz w:val="24"/>
                <w:szCs w:val="24"/>
                <w:lang w:val="sq-AL" w:eastAsia="sq-AL"/>
              </w:rPr>
              <w:t xml:space="preserve">Strukturat akomoduese turistike klasifikohen dhe përshkruhen në grupe sipas klasifikimit NVE Rev. 2 si vijon: </w:t>
            </w:r>
          </w:p>
          <w:p w14:paraId="2F8E1053"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Style w:val="Emphasis"/>
                <w:rFonts w:ascii="Times New Roman" w:hAnsi="Times New Roman" w:cs="Times New Roman"/>
                <w:sz w:val="24"/>
                <w:szCs w:val="24"/>
                <w:lang w:val="sq-AL"/>
              </w:rPr>
              <w:t>55.10 Hotele dhe akomodime të ngjashme.</w:t>
            </w:r>
            <w:r w:rsidRPr="00C521B7">
              <w:rPr>
                <w:rFonts w:ascii="Times New Roman" w:eastAsia="Times New Roman" w:hAnsi="Times New Roman" w:cs="Times New Roman"/>
                <w:noProof/>
                <w:color w:val="000000"/>
                <w:sz w:val="24"/>
                <w:szCs w:val="24"/>
                <w:lang w:val="sq-AL" w:eastAsia="sq-AL"/>
              </w:rPr>
              <w:t xml:space="preserve"> Kjo klasë përfshin: hotele, resort hotelier (kompleks turistik), hotel suita / apartament, motele.</w:t>
            </w:r>
          </w:p>
          <w:p w14:paraId="78150682"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Style w:val="Emphasis"/>
                <w:rFonts w:ascii="Times New Roman" w:hAnsi="Times New Roman" w:cs="Times New Roman"/>
                <w:sz w:val="24"/>
                <w:szCs w:val="24"/>
                <w:lang w:val="sq-AL"/>
              </w:rPr>
              <w:t>55.20 Akomodime për pushime dhe të tjera akomodime afatshkurtra.</w:t>
            </w:r>
            <w:r w:rsidRPr="00C521B7">
              <w:rPr>
                <w:rFonts w:ascii="Times New Roman" w:eastAsia="Times New Roman" w:hAnsi="Times New Roman" w:cs="Times New Roman"/>
                <w:noProof/>
                <w:color w:val="000000"/>
                <w:sz w:val="24"/>
                <w:szCs w:val="24"/>
                <w:lang w:val="sq-AL" w:eastAsia="sq-AL"/>
              </w:rPr>
              <w:t xml:space="preserve"> Kjo klasë përfshin: shtëpi pushimi për fëmijë dhe të tjerë, apartamente dhe shtëpi njëkatëshe për vizitorë, shtëpi pushimi familjare pa shërbim në dhomë, bujtina të rinjsh dhe streha malore.</w:t>
            </w:r>
          </w:p>
          <w:p w14:paraId="59A79892"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Style w:val="Emphasis"/>
                <w:rFonts w:ascii="Times New Roman" w:hAnsi="Times New Roman" w:cs="Times New Roman"/>
                <w:sz w:val="24"/>
                <w:szCs w:val="24"/>
                <w:lang w:val="sq-AL"/>
              </w:rPr>
              <w:t>55.30 Hapësirat për kampingje dhe për parqe, për çadra ose rulota argëtimi.</w:t>
            </w:r>
            <w:r w:rsidRPr="00C521B7">
              <w:rPr>
                <w:rFonts w:ascii="Times New Roman" w:eastAsia="Times New Roman" w:hAnsi="Times New Roman" w:cs="Times New Roman"/>
                <w:noProof/>
                <w:color w:val="000000"/>
                <w:sz w:val="24"/>
                <w:szCs w:val="24"/>
                <w:lang w:val="sq-AL" w:eastAsia="sq-AL"/>
              </w:rPr>
              <w:t xml:space="preserve"> Kjo klasë përfshin kampingje e parqe për çadra, automjete ose rulota për vizitorët me qëndrim të shkurtër.</w:t>
            </w:r>
          </w:p>
          <w:p w14:paraId="0D94EFE2" w14:textId="77777777" w:rsidR="00C521B7" w:rsidRPr="00C521B7" w:rsidRDefault="0093021A" w:rsidP="00C521B7">
            <w:pPr>
              <w:spacing w:before="120" w:after="120" w:line="240" w:lineRule="auto"/>
              <w:ind w:right="86"/>
              <w:jc w:val="both"/>
              <w:rPr>
                <w:rFonts w:ascii="Times New Roman" w:hAnsi="Times New Roman" w:cs="Times New Roman"/>
                <w:color w:val="0000FF"/>
                <w:sz w:val="24"/>
                <w:szCs w:val="24"/>
                <w:u w:val="single"/>
              </w:rPr>
            </w:pPr>
            <w:hyperlink r:id="rId12" w:history="1">
              <w:r w:rsidR="00C521B7" w:rsidRPr="00C521B7">
                <w:rPr>
                  <w:rFonts w:ascii="Times New Roman" w:hAnsi="Times New Roman" w:cs="Times New Roman"/>
                  <w:color w:val="0000FF"/>
                  <w:sz w:val="24"/>
                  <w:szCs w:val="24"/>
                  <w:u w:val="single"/>
                </w:rPr>
                <w:t>NUTS</w:t>
              </w:r>
            </w:hyperlink>
            <w:r w:rsidR="00C521B7" w:rsidRPr="00C521B7">
              <w:rPr>
                <w:rFonts w:ascii="Times New Roman" w:hAnsi="Times New Roman" w:cs="Times New Roman"/>
                <w:color w:val="0000FF"/>
                <w:sz w:val="24"/>
                <w:szCs w:val="24"/>
                <w:u w:val="single"/>
              </w:rPr>
              <w:t xml:space="preserve"> II</w:t>
            </w:r>
          </w:p>
          <w:p w14:paraId="25C37896"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Fonts w:ascii="Times New Roman" w:eastAsia="Times New Roman" w:hAnsi="Times New Roman" w:cs="Times New Roman"/>
                <w:noProof/>
                <w:color w:val="000000"/>
                <w:sz w:val="24"/>
                <w:szCs w:val="24"/>
                <w:lang w:val="sq-AL" w:eastAsia="sq-AL"/>
              </w:rPr>
              <w:t>Rajonet statistikore në nivelin 1, 2 dhe 3  përcaktohen sipas ndarjes territoriale NUTS II, i cili është një klasifikim i unifikuar dhe përdoret si bazë për  mbledhjen dhe përpunimin e Statistikave Rajonale Evropiane.  Informacioni më poshtë përfshin se cilat prefektura janë në rajonin e Veriut, Qendrës dhe Jugut.</w:t>
            </w:r>
          </w:p>
          <w:p w14:paraId="56F5D0E8" w14:textId="77777777" w:rsidR="002E09E1" w:rsidRPr="00C521B7" w:rsidRDefault="002E09E1" w:rsidP="00851C1F">
            <w:pPr>
              <w:pStyle w:val="ListParagraph"/>
              <w:numPr>
                <w:ilvl w:val="0"/>
                <w:numId w:val="32"/>
              </w:numPr>
              <w:spacing w:before="240" w:after="200"/>
              <w:jc w:val="both"/>
              <w:rPr>
                <w:noProof/>
                <w:color w:val="000000"/>
                <w:lang w:val="sq-AL" w:eastAsia="sq-AL"/>
              </w:rPr>
            </w:pPr>
            <w:r w:rsidRPr="00C521B7">
              <w:rPr>
                <w:b/>
                <w:noProof/>
                <w:color w:val="000000"/>
                <w:lang w:val="sq-AL" w:eastAsia="sq-AL"/>
              </w:rPr>
              <w:t>Rajoni i Veriut:</w:t>
            </w:r>
            <w:r w:rsidRPr="00C521B7">
              <w:rPr>
                <w:noProof/>
                <w:color w:val="000000"/>
                <w:lang w:val="sq-AL" w:eastAsia="sq-AL"/>
              </w:rPr>
              <w:t xml:space="preserve"> Dibër; Durrës; Kukës; Lezhë; Shkodër</w:t>
            </w:r>
          </w:p>
          <w:p w14:paraId="2F5C39E3" w14:textId="77777777" w:rsidR="002E09E1" w:rsidRPr="00C521B7" w:rsidRDefault="002E09E1" w:rsidP="00851C1F">
            <w:pPr>
              <w:pStyle w:val="ListParagraph"/>
              <w:numPr>
                <w:ilvl w:val="0"/>
                <w:numId w:val="32"/>
              </w:numPr>
              <w:spacing w:before="240" w:after="200"/>
              <w:jc w:val="both"/>
              <w:rPr>
                <w:noProof/>
                <w:color w:val="000000"/>
                <w:lang w:val="sq-AL" w:eastAsia="sq-AL"/>
              </w:rPr>
            </w:pPr>
            <w:r w:rsidRPr="00C521B7">
              <w:rPr>
                <w:b/>
                <w:noProof/>
                <w:color w:val="000000"/>
                <w:lang w:val="sq-AL" w:eastAsia="sq-AL"/>
              </w:rPr>
              <w:t>Rajoni Qendër:</w:t>
            </w:r>
            <w:r w:rsidRPr="00C521B7">
              <w:rPr>
                <w:noProof/>
                <w:color w:val="000000"/>
                <w:lang w:val="sq-AL" w:eastAsia="sq-AL"/>
              </w:rPr>
              <w:t xml:space="preserve"> Elbasan;Tiranë</w:t>
            </w:r>
          </w:p>
          <w:p w14:paraId="002578A2" w14:textId="77777777" w:rsidR="002E09E1" w:rsidRPr="00C521B7" w:rsidRDefault="002E09E1" w:rsidP="00851C1F">
            <w:pPr>
              <w:pStyle w:val="ListParagraph"/>
              <w:numPr>
                <w:ilvl w:val="0"/>
                <w:numId w:val="32"/>
              </w:numPr>
              <w:spacing w:before="240" w:after="200"/>
              <w:jc w:val="both"/>
              <w:rPr>
                <w:noProof/>
                <w:color w:val="000000"/>
                <w:lang w:val="sq-AL" w:eastAsia="sq-AL"/>
              </w:rPr>
            </w:pPr>
            <w:r w:rsidRPr="00C521B7">
              <w:rPr>
                <w:b/>
                <w:noProof/>
                <w:color w:val="000000"/>
                <w:lang w:val="sq-AL" w:eastAsia="sq-AL"/>
              </w:rPr>
              <w:t>Rajoni i Jugut:</w:t>
            </w:r>
            <w:r w:rsidRPr="00C521B7">
              <w:rPr>
                <w:noProof/>
                <w:color w:val="000000"/>
                <w:lang w:val="sq-AL" w:eastAsia="sq-AL"/>
              </w:rPr>
              <w:t xml:space="preserve"> Berat; Fier; Gjirokastër; Korçë; Vlorë</w:t>
            </w:r>
          </w:p>
          <w:p w14:paraId="3891970C" w14:textId="77777777" w:rsidR="002E09E1" w:rsidRPr="00C521B7" w:rsidRDefault="002E09E1" w:rsidP="00851C1F">
            <w:pPr>
              <w:spacing w:before="240"/>
              <w:jc w:val="both"/>
              <w:rPr>
                <w:rFonts w:ascii="Times New Roman" w:eastAsia="Times New Roman" w:hAnsi="Times New Roman" w:cs="Times New Roman"/>
                <w:noProof/>
                <w:color w:val="000000"/>
                <w:sz w:val="24"/>
                <w:szCs w:val="24"/>
                <w:u w:val="single"/>
                <w:lang w:val="sq-AL" w:eastAsia="sq-AL"/>
              </w:rPr>
            </w:pPr>
            <w:r w:rsidRPr="00C521B7">
              <w:rPr>
                <w:rFonts w:ascii="Times New Roman" w:eastAsia="Times New Roman" w:hAnsi="Times New Roman" w:cs="Times New Roman"/>
                <w:noProof/>
                <w:color w:val="000000"/>
                <w:sz w:val="24"/>
                <w:szCs w:val="24"/>
                <w:u w:val="single"/>
                <w:lang w:val="sq-AL" w:eastAsia="sq-AL"/>
              </w:rPr>
              <w:t>Zonat bregdetare</w:t>
            </w:r>
          </w:p>
          <w:p w14:paraId="445C8A0B" w14:textId="77777777" w:rsidR="002E09E1" w:rsidRPr="00C521B7" w:rsidRDefault="002E09E1" w:rsidP="00851C1F">
            <w:pPr>
              <w:spacing w:before="240"/>
              <w:jc w:val="both"/>
              <w:rPr>
                <w:rFonts w:ascii="Times New Roman" w:eastAsia="Times New Roman" w:hAnsi="Times New Roman" w:cs="Times New Roman"/>
                <w:noProof/>
                <w:color w:val="000000"/>
                <w:sz w:val="24"/>
                <w:szCs w:val="24"/>
                <w:lang w:val="sq-AL" w:eastAsia="sq-AL"/>
              </w:rPr>
            </w:pPr>
            <w:r w:rsidRPr="00C521B7">
              <w:rPr>
                <w:rFonts w:ascii="Times New Roman" w:eastAsia="Times New Roman" w:hAnsi="Times New Roman" w:cs="Times New Roman"/>
                <w:noProof/>
                <w:color w:val="000000"/>
                <w:sz w:val="24"/>
                <w:szCs w:val="24"/>
                <w:lang w:val="sq-AL" w:eastAsia="sq-AL"/>
              </w:rPr>
              <w:t>Zonat bregdetare janë Njësi Administrative Vendore (LAU) që janë në kufi ose afër një vije bregdetare. Zonat bregdetare klasifikohen sipas dy kategorive të mëposhtme:</w:t>
            </w:r>
          </w:p>
          <w:p w14:paraId="2D289254" w14:textId="77777777" w:rsidR="002E09E1" w:rsidRPr="00C521B7" w:rsidRDefault="002E09E1" w:rsidP="00851C1F">
            <w:pPr>
              <w:pStyle w:val="ListParagraph"/>
              <w:numPr>
                <w:ilvl w:val="0"/>
                <w:numId w:val="33"/>
              </w:numPr>
              <w:spacing w:before="240" w:after="200"/>
              <w:jc w:val="both"/>
              <w:rPr>
                <w:noProof/>
                <w:color w:val="000000"/>
                <w:lang w:val="sq-AL" w:eastAsia="sq-AL"/>
              </w:rPr>
            </w:pPr>
            <w:r w:rsidRPr="00C521B7">
              <w:rPr>
                <w:b/>
                <w:noProof/>
                <w:color w:val="000000"/>
                <w:lang w:val="sq-AL" w:eastAsia="sq-AL"/>
              </w:rPr>
              <w:t>Zonat bregdetare:</w:t>
            </w:r>
            <w:r w:rsidRPr="00C521B7">
              <w:rPr>
                <w:noProof/>
                <w:color w:val="000000"/>
                <w:lang w:val="sq-AL" w:eastAsia="sq-AL"/>
              </w:rPr>
              <w:t xml:space="preserve"> LAU që kufizohen me vijën bregdetare ose LAU që kanë të paktën 50% të sipërfaqes së tyre në një distancë prej 10 km nga vija bregdetare;</w:t>
            </w:r>
          </w:p>
          <w:p w14:paraId="08825B30" w14:textId="77777777" w:rsidR="002E09E1" w:rsidRPr="00C521B7" w:rsidRDefault="002E09E1" w:rsidP="00851C1F">
            <w:pPr>
              <w:pStyle w:val="ListParagraph"/>
              <w:numPr>
                <w:ilvl w:val="0"/>
                <w:numId w:val="33"/>
              </w:numPr>
              <w:spacing w:before="240" w:after="200"/>
              <w:jc w:val="both"/>
              <w:rPr>
                <w:noProof/>
                <w:color w:val="000000"/>
                <w:lang w:val="sq-AL" w:eastAsia="sq-AL"/>
              </w:rPr>
            </w:pPr>
            <w:r w:rsidRPr="00C521B7">
              <w:rPr>
                <w:b/>
                <w:noProof/>
                <w:color w:val="000000"/>
                <w:lang w:val="sq-AL" w:eastAsia="sq-AL"/>
              </w:rPr>
              <w:lastRenderedPageBreak/>
              <w:t>Zonat jo-bregdetare:</w:t>
            </w:r>
            <w:r w:rsidRPr="00C521B7">
              <w:rPr>
                <w:noProof/>
                <w:color w:val="000000"/>
                <w:lang w:val="sq-AL" w:eastAsia="sq-AL"/>
              </w:rPr>
              <w:t xml:space="preserve"> LAU që nuk janë "zona bregdetare";  që nënkupton LAU që nuk kufizohen me vijen bregdetare dhe kanë më pak se 50% të sipërfaqes së tyre në një distancë prej 10 km nga vija bregdetare.</w:t>
            </w:r>
          </w:p>
          <w:p w14:paraId="0BF0FC89" w14:textId="77777777" w:rsidR="0059335D" w:rsidRPr="00BD15FF" w:rsidRDefault="006909E0" w:rsidP="006909E0">
            <w:r w:rsidRPr="00BD15FF">
              <w:rPr>
                <w:rFonts w:ascii="Times New Roman" w:eastAsia="Times New Roman" w:hAnsi="Times New Roman" w:cs="Times New Roman"/>
                <w:noProof/>
                <w:color w:val="000000"/>
                <w:sz w:val="24"/>
                <w:szCs w:val="24"/>
                <w:lang w:val="sq-AL" w:eastAsia="sq-AL"/>
              </w:rPr>
              <w:t>Komentet shtesë: Klasifikimi DEGURBA nuk aplikohet.</w:t>
            </w:r>
          </w:p>
        </w:tc>
      </w:tr>
      <w:tr w:rsidR="00E43898" w:rsidRPr="003F7852" w14:paraId="62052C10" w14:textId="77777777" w:rsidTr="00F50383">
        <w:trPr>
          <w:trHeight w:val="6272"/>
        </w:trPr>
        <w:tc>
          <w:tcPr>
            <w:tcW w:w="2518" w:type="dxa"/>
            <w:shd w:val="clear" w:color="auto" w:fill="FFFFCC"/>
            <w:vAlign w:val="center"/>
            <w:hideMark/>
          </w:tcPr>
          <w:p w14:paraId="314F6307"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3.3. Mbulimi i sektorit</w:t>
            </w:r>
          </w:p>
        </w:tc>
        <w:tc>
          <w:tcPr>
            <w:tcW w:w="8164" w:type="dxa"/>
            <w:shd w:val="clear" w:color="auto" w:fill="auto"/>
            <w:vAlign w:val="center"/>
          </w:tcPr>
          <w:tbl>
            <w:tblPr>
              <w:tblW w:w="798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1E0" w:firstRow="1" w:lastRow="1" w:firstColumn="1" w:lastColumn="1" w:noHBand="0" w:noVBand="0"/>
            </w:tblPr>
            <w:tblGrid>
              <w:gridCol w:w="3000"/>
              <w:gridCol w:w="4984"/>
            </w:tblGrid>
            <w:tr w:rsidR="00987075" w:rsidRPr="003F7852" w14:paraId="570413C2" w14:textId="77777777" w:rsidTr="00987075">
              <w:trPr>
                <w:trHeight w:val="344"/>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6D67D" w14:textId="77777777" w:rsidR="00987075" w:rsidRPr="003F7852" w:rsidRDefault="00987075" w:rsidP="00E0342D">
                  <w:pPr>
                    <w:spacing w:after="0" w:line="240" w:lineRule="auto"/>
                    <w:rPr>
                      <w:rFonts w:ascii="Times New Roman" w:eastAsia="Times New Roman" w:hAnsi="Times New Roman" w:cs="Times New Roman"/>
                      <w:sz w:val="24"/>
                      <w:szCs w:val="24"/>
                      <w:lang w:val="sq-AL"/>
                    </w:rPr>
                  </w:pPr>
                  <w:r w:rsidRPr="003F7852">
                    <w:rPr>
                      <w:rFonts w:ascii="Times New Roman" w:eastAsia="Times New Roman" w:hAnsi="Times New Roman" w:cs="Times New Roman"/>
                      <w:color w:val="000000"/>
                      <w:sz w:val="24"/>
                      <w:szCs w:val="24"/>
                      <w:lang w:val="sq-AL"/>
                    </w:rPr>
                    <w:t xml:space="preserve">3.3.1 </w:t>
                  </w:r>
                  <w:r w:rsidRPr="003F7852">
                    <w:rPr>
                      <w:rFonts w:ascii="Times New Roman" w:eastAsia="Times New Roman" w:hAnsi="Times New Roman" w:cs="Times New Roman"/>
                      <w:noProof/>
                      <w:color w:val="000000"/>
                      <w:sz w:val="24"/>
                      <w:szCs w:val="24"/>
                      <w:lang w:val="sq-AL" w:eastAsia="sq-AL"/>
                    </w:rPr>
                    <w:t>Kapaciteti</w:t>
                  </w:r>
                </w:p>
              </w:tc>
              <w:tc>
                <w:tcPr>
                  <w:tcW w:w="4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F562C" w14:textId="77777777" w:rsidR="00987075" w:rsidRPr="003F7852" w:rsidRDefault="00987075" w:rsidP="00987075">
                  <w:pPr>
                    <w:spacing w:before="120" w:after="120" w:line="240" w:lineRule="auto"/>
                    <w:ind w:right="86"/>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Census për ndërmarrjet me 10 ose më shumë të punësuar;</w:t>
                  </w:r>
                </w:p>
                <w:p w14:paraId="1789AAE2" w14:textId="77777777" w:rsidR="00987075" w:rsidRPr="003F7852" w:rsidRDefault="00987075" w:rsidP="00987075">
                  <w:pPr>
                    <w:spacing w:before="30" w:after="30" w:line="240" w:lineRule="auto"/>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Për ndërmarrjet e vogla, merret një kampion, duke përdorur shtresimin sipas madhësisë së ndërmarrjes dhe NVE.</w:t>
                  </w:r>
                </w:p>
                <w:p w14:paraId="176D4BDD" w14:textId="77777777" w:rsidR="00987075" w:rsidRPr="003F7852" w:rsidRDefault="00987075" w:rsidP="00987075">
                  <w:pPr>
                    <w:spacing w:before="30" w:after="30" w:line="240" w:lineRule="auto"/>
                    <w:jc w:val="both"/>
                    <w:rPr>
                      <w:rFonts w:ascii="Times New Roman" w:eastAsia="Times New Roman" w:hAnsi="Times New Roman" w:cs="Times New Roman"/>
                      <w:lang w:val="sq-AL"/>
                    </w:rPr>
                  </w:pPr>
                  <w:r w:rsidRPr="003F7852">
                    <w:rPr>
                      <w:rFonts w:ascii="Times New Roman" w:eastAsia="Times New Roman" w:hAnsi="Times New Roman" w:cs="Times New Roman"/>
                      <w:noProof/>
                      <w:color w:val="000000"/>
                      <w:sz w:val="24"/>
                      <w:szCs w:val="24"/>
                      <w:lang w:val="sq-AL" w:eastAsia="sq-AL"/>
                    </w:rPr>
                    <w:t>Sipas Rregullores 692/2011, NACE 55.1, 55.2 dhe 55.3 janë të mbuluara.</w:t>
                  </w:r>
                </w:p>
              </w:tc>
            </w:tr>
            <w:tr w:rsidR="00987075" w:rsidRPr="003F7852" w14:paraId="1FF321CB" w14:textId="77777777" w:rsidTr="00987075">
              <w:trPr>
                <w:trHeight w:val="2055"/>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6D556" w14:textId="77777777" w:rsidR="00987075" w:rsidRPr="003F7852" w:rsidRDefault="00987075" w:rsidP="00987075">
                  <w:pPr>
                    <w:spacing w:after="0" w:line="240" w:lineRule="auto"/>
                    <w:rPr>
                      <w:rFonts w:ascii="Times New Roman" w:eastAsia="Times New Roman" w:hAnsi="Times New Roman" w:cs="Times New Roman"/>
                      <w:sz w:val="24"/>
                      <w:szCs w:val="24"/>
                      <w:lang w:val="sq-AL"/>
                    </w:rPr>
                  </w:pPr>
                  <w:r w:rsidRPr="003F7852">
                    <w:rPr>
                      <w:rFonts w:ascii="Times New Roman" w:eastAsia="Times New Roman" w:hAnsi="Times New Roman" w:cs="Times New Roman"/>
                      <w:color w:val="000000"/>
                      <w:sz w:val="24"/>
                      <w:szCs w:val="24"/>
                      <w:lang w:val="sq-AL"/>
                    </w:rPr>
                    <w:t>3.3.2 Shfrytëzimi</w:t>
                  </w:r>
                </w:p>
              </w:tc>
              <w:tc>
                <w:tcPr>
                  <w:tcW w:w="4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3389B" w14:textId="77777777" w:rsidR="00987075" w:rsidRPr="003F7852" w:rsidRDefault="00987075" w:rsidP="00987075">
                  <w:pPr>
                    <w:spacing w:before="120" w:after="120" w:line="240" w:lineRule="auto"/>
                    <w:ind w:right="86"/>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Census për ndërmarrjet me 10 ose më shumë të punësuar;</w:t>
                  </w:r>
                </w:p>
                <w:p w14:paraId="2EFF6F85" w14:textId="77777777" w:rsidR="00987075" w:rsidRPr="003F7852" w:rsidRDefault="00987075" w:rsidP="00E0342D">
                  <w:pPr>
                    <w:spacing w:before="30" w:after="30" w:line="240" w:lineRule="auto"/>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Për ndërmarrjet e vogla, merret një kampion, duke përdorur shtresimin sipas madhësisë së ndërmarrjes dhe NVE.</w:t>
                  </w:r>
                </w:p>
                <w:p w14:paraId="186619A9" w14:textId="77777777" w:rsidR="00987075" w:rsidRPr="003F7852" w:rsidRDefault="00987075" w:rsidP="00987075">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Sipas Rregullores 692/2011, NACE 55.1, 55.2 dhe 55.3 janë të mbuluara.</w:t>
                  </w:r>
                </w:p>
              </w:tc>
            </w:tr>
            <w:tr w:rsidR="00987075" w:rsidRPr="003F7852" w14:paraId="550CBEF9" w14:textId="77777777" w:rsidTr="00987075">
              <w:trPr>
                <w:trHeight w:val="851"/>
                <w:tblCellSpacing w:w="0" w:type="dxa"/>
              </w:trPr>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42177" w14:textId="77777777" w:rsidR="00987075" w:rsidRPr="003F7852" w:rsidRDefault="00987075" w:rsidP="00987075">
                  <w:pPr>
                    <w:spacing w:after="0" w:line="240" w:lineRule="auto"/>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 xml:space="preserve">3.3.3 </w:t>
                  </w:r>
                  <w:r w:rsidRPr="003F7852">
                    <w:rPr>
                      <w:rFonts w:ascii="Times New Roman" w:eastAsia="Times New Roman" w:hAnsi="Times New Roman" w:cs="Times New Roman"/>
                      <w:noProof/>
                      <w:color w:val="000000"/>
                      <w:sz w:val="24"/>
                      <w:szCs w:val="24"/>
                      <w:lang w:val="sq-AL" w:eastAsia="sq-AL"/>
                    </w:rPr>
                    <w:t>Komentet shtesë (nëse ka devijime nga rregullorja)</w:t>
                  </w:r>
                </w:p>
              </w:tc>
              <w:tc>
                <w:tcPr>
                  <w:tcW w:w="4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4BF54" w14:textId="77777777" w:rsidR="00987075" w:rsidRPr="003F7852" w:rsidRDefault="00987075" w:rsidP="00E0342D">
                  <w:pPr>
                    <w:spacing w:before="30" w:after="30" w:line="240" w:lineRule="auto"/>
                    <w:jc w:val="both"/>
                    <w:rPr>
                      <w:rFonts w:ascii="Times New Roman" w:eastAsia="Times New Roman" w:hAnsi="Times New Roman" w:cs="Times New Roman"/>
                      <w:lang w:val="sq-AL"/>
                    </w:rPr>
                  </w:pPr>
                </w:p>
              </w:tc>
            </w:tr>
          </w:tbl>
          <w:p w14:paraId="65073EE8" w14:textId="77777777" w:rsidR="00987075" w:rsidRPr="003F7852" w:rsidRDefault="00987075" w:rsidP="00EA3F03">
            <w:pPr>
              <w:spacing w:after="0"/>
              <w:rPr>
                <w:rFonts w:ascii="Times New Roman" w:eastAsia="Times New Roman" w:hAnsi="Times New Roman" w:cs="Times New Roman"/>
                <w:noProof/>
                <w:color w:val="000000"/>
                <w:sz w:val="24"/>
                <w:szCs w:val="24"/>
                <w:lang w:val="sq-AL" w:eastAsia="sq-AL"/>
              </w:rPr>
            </w:pPr>
          </w:p>
        </w:tc>
      </w:tr>
      <w:tr w:rsidR="00E43898" w:rsidRPr="003F7852" w14:paraId="26E13220" w14:textId="77777777" w:rsidTr="00F50383">
        <w:trPr>
          <w:trHeight w:val="5129"/>
        </w:trPr>
        <w:tc>
          <w:tcPr>
            <w:tcW w:w="2518" w:type="dxa"/>
            <w:shd w:val="clear" w:color="auto" w:fill="FFFFCC"/>
            <w:vAlign w:val="center"/>
            <w:hideMark/>
          </w:tcPr>
          <w:p w14:paraId="7B783D39" w14:textId="77777777" w:rsidR="00E43898" w:rsidRPr="003F7852" w:rsidRDefault="00E43898" w:rsidP="00987075">
            <w:pPr>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3.4. Koncepte statistikore dhe përkufizime</w:t>
            </w:r>
          </w:p>
        </w:tc>
        <w:tc>
          <w:tcPr>
            <w:tcW w:w="8164" w:type="dxa"/>
            <w:shd w:val="clear" w:color="auto" w:fill="auto"/>
            <w:vAlign w:val="center"/>
          </w:tcPr>
          <w:p w14:paraId="4ED1A4A0"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Konceptet dhe përkufizimet statistikore bazohen në Rregulloren 692/2011 dhe </w:t>
            </w:r>
            <w:hyperlink r:id="rId13" w:history="1">
              <w:r w:rsidRPr="003F7852">
                <w:rPr>
                  <w:rStyle w:val="Hyperlink"/>
                  <w:rFonts w:ascii="Times New Roman" w:eastAsia="Times New Roman" w:hAnsi="Times New Roman" w:cs="Times New Roman"/>
                  <w:noProof/>
                  <w:sz w:val="24"/>
                  <w:szCs w:val="24"/>
                  <w:lang w:val="sq-AL" w:eastAsia="sq-AL"/>
                </w:rPr>
                <w:t>Manualin Metodologjik për Statistikat e Turizmit</w:t>
              </w:r>
            </w:hyperlink>
            <w:r w:rsidRPr="003F7852">
              <w:rPr>
                <w:rFonts w:ascii="Times New Roman" w:eastAsia="Times New Roman" w:hAnsi="Times New Roman" w:cs="Times New Roman"/>
                <w:noProof/>
                <w:color w:val="000000"/>
                <w:sz w:val="24"/>
                <w:szCs w:val="24"/>
                <w:lang w:val="sq-AL" w:eastAsia="sq-AL"/>
              </w:rPr>
              <w:t>.</w:t>
            </w:r>
          </w:p>
          <w:p w14:paraId="5BA55DC6" w14:textId="77777777" w:rsidR="00987075" w:rsidRPr="003F7852" w:rsidRDefault="00987075" w:rsidP="00851C1F">
            <w:pPr>
              <w:spacing w:before="240"/>
              <w:jc w:val="both"/>
              <w:rPr>
                <w:rFonts w:ascii="Times New Roman" w:eastAsia="Times New Roman" w:hAnsi="Times New Roman" w:cs="Times New Roman"/>
                <w:b/>
                <w:noProof/>
                <w:color w:val="000000"/>
                <w:sz w:val="24"/>
                <w:szCs w:val="24"/>
                <w:u w:val="single"/>
                <w:lang w:val="sq-AL" w:eastAsia="sq-AL"/>
              </w:rPr>
            </w:pPr>
            <w:r w:rsidRPr="003F7852">
              <w:rPr>
                <w:rFonts w:ascii="Times New Roman" w:eastAsia="Times New Roman" w:hAnsi="Times New Roman" w:cs="Times New Roman"/>
                <w:b/>
                <w:noProof/>
                <w:color w:val="000000"/>
                <w:sz w:val="24"/>
                <w:szCs w:val="24"/>
                <w:u w:val="single"/>
                <w:lang w:val="sq-AL" w:eastAsia="sq-AL"/>
              </w:rPr>
              <w:t>Përkufizime:</w:t>
            </w:r>
          </w:p>
          <w:p w14:paraId="720B51FD" w14:textId="77777777" w:rsidR="00B30A77" w:rsidRPr="00B30A77" w:rsidRDefault="00B30A77" w:rsidP="00B30A77">
            <w:pPr>
              <w:spacing w:before="240"/>
              <w:jc w:val="both"/>
              <w:rPr>
                <w:rFonts w:ascii="Times New Roman" w:eastAsia="Times New Roman" w:hAnsi="Times New Roman" w:cs="Times New Roman"/>
                <w:noProof/>
                <w:color w:val="000000"/>
                <w:sz w:val="24"/>
                <w:szCs w:val="24"/>
                <w:lang w:val="sq-AL" w:eastAsia="sq-AL"/>
              </w:rPr>
            </w:pPr>
            <w:r w:rsidRPr="00B30A77">
              <w:rPr>
                <w:rFonts w:ascii="Times New Roman" w:eastAsia="Times New Roman" w:hAnsi="Times New Roman" w:cs="Times New Roman"/>
                <w:b/>
                <w:noProof/>
                <w:color w:val="000000"/>
                <w:sz w:val="24"/>
                <w:szCs w:val="24"/>
                <w:lang w:val="sq-AL" w:eastAsia="sq-AL"/>
              </w:rPr>
              <w:t>Struktura akomoduese</w:t>
            </w:r>
            <w:r w:rsidRPr="00B30A77">
              <w:rPr>
                <w:rFonts w:ascii="Times New Roman" w:eastAsia="Times New Roman" w:hAnsi="Times New Roman" w:cs="Times New Roman"/>
                <w:noProof/>
                <w:color w:val="000000"/>
                <w:sz w:val="24"/>
                <w:szCs w:val="24"/>
                <w:lang w:val="sq-AL" w:eastAsia="sq-AL"/>
              </w:rPr>
              <w:t xml:space="preserve"> në statistikat e akomodimit përfshin të gjitha institucionet e akomodimit turistik që ofrojnë, si një shërbim të paguar (çmimi mund të subvencionohet pjesërisht ose plotësisht), shërbime akomodimi afatshkurtra ose qëndrimi të shkurtër.</w:t>
            </w:r>
          </w:p>
          <w:p w14:paraId="375547AE"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Dhomë fjetje</w:t>
            </w:r>
            <w:r w:rsidRPr="003F7852">
              <w:rPr>
                <w:rFonts w:ascii="Times New Roman" w:eastAsia="Times New Roman" w:hAnsi="Times New Roman" w:cs="Times New Roman"/>
                <w:noProof/>
                <w:color w:val="000000"/>
                <w:sz w:val="24"/>
                <w:szCs w:val="24"/>
                <w:lang w:val="sq-AL" w:eastAsia="sq-AL"/>
              </w:rPr>
              <w:t xml:space="preserve">: në një strukturë akomodimi apo banesë është njësia e përbërë nga një dhomë ose grupe dhomash të cilat janë të marra me qira nga vizitorët (turistët) si një e tërë (qira e pandashme). </w:t>
            </w:r>
          </w:p>
          <w:p w14:paraId="5DAB9FEC"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Shtrat:</w:t>
            </w:r>
            <w:r w:rsidRPr="003F7852">
              <w:rPr>
                <w:rFonts w:ascii="Times New Roman" w:eastAsia="Times New Roman" w:hAnsi="Times New Roman" w:cs="Times New Roman"/>
                <w:noProof/>
                <w:color w:val="000000"/>
                <w:sz w:val="24"/>
                <w:szCs w:val="24"/>
                <w:lang w:val="sq-AL" w:eastAsia="sq-AL"/>
              </w:rPr>
              <w:t xml:space="preserve"> numri i shtretërve në një godinë akomodimi turistik përcaktohet nga numri i personave që mund të qëndrojnë gjatë natës në një shtrat, duke përjashtuar shtretërit ekstra të vendosur sipas kërkesës së vizitorit.</w:t>
            </w:r>
          </w:p>
          <w:p w14:paraId="1C23060A"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Vizitorë:</w:t>
            </w:r>
            <w:r w:rsidRPr="003F7852">
              <w:rPr>
                <w:rFonts w:ascii="Times New Roman" w:eastAsia="Times New Roman" w:hAnsi="Times New Roman" w:cs="Times New Roman"/>
                <w:noProof/>
                <w:color w:val="000000"/>
                <w:sz w:val="24"/>
                <w:szCs w:val="24"/>
                <w:lang w:val="sq-AL" w:eastAsia="sq-AL"/>
              </w:rPr>
              <w:t xml:space="preserve"> një vizitorë është përcaktuar si një person i cili qëndron të paktën një </w:t>
            </w:r>
            <w:r w:rsidRPr="003F7852">
              <w:rPr>
                <w:rFonts w:ascii="Times New Roman" w:eastAsia="Times New Roman" w:hAnsi="Times New Roman" w:cs="Times New Roman"/>
                <w:noProof/>
                <w:color w:val="000000"/>
                <w:sz w:val="24"/>
                <w:szCs w:val="24"/>
                <w:lang w:val="sq-AL" w:eastAsia="sq-AL"/>
              </w:rPr>
              <w:lastRenderedPageBreak/>
              <w:t>natë në hotel duke përfshirë edhe fëmijët.</w:t>
            </w:r>
          </w:p>
          <w:p w14:paraId="06AB774B"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Rezident:</w:t>
            </w:r>
            <w:r w:rsidRPr="003F7852">
              <w:rPr>
                <w:rFonts w:ascii="Times New Roman" w:eastAsia="Times New Roman" w:hAnsi="Times New Roman" w:cs="Times New Roman"/>
                <w:noProof/>
                <w:color w:val="000000"/>
                <w:sz w:val="24"/>
                <w:szCs w:val="24"/>
                <w:lang w:val="sq-AL" w:eastAsia="sq-AL"/>
              </w:rPr>
              <w:t xml:space="preserve"> konsiderohet ai person që ka banuar në Shqipëri për më shumë se 12 muaj radhazi.</w:t>
            </w:r>
          </w:p>
          <w:p w14:paraId="7B0C1A8F"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Jo-Rezident:</w:t>
            </w:r>
            <w:r w:rsidRPr="003F7852">
              <w:rPr>
                <w:rFonts w:ascii="Times New Roman" w:eastAsia="Times New Roman" w:hAnsi="Times New Roman" w:cs="Times New Roman"/>
                <w:noProof/>
                <w:color w:val="000000"/>
                <w:sz w:val="24"/>
                <w:szCs w:val="24"/>
                <w:lang w:val="sq-AL" w:eastAsia="sq-AL"/>
              </w:rPr>
              <w:t xml:space="preserve"> konsiderohet ai person që nuk ka banuar në Shqipëri për më shumë se 12 muaj radhazi. </w:t>
            </w:r>
          </w:p>
          <w:p w14:paraId="1A63E77F"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Netë qëndrimi:</w:t>
            </w:r>
            <w:r w:rsidRPr="003F7852">
              <w:rPr>
                <w:rFonts w:ascii="Times New Roman" w:eastAsia="Times New Roman" w:hAnsi="Times New Roman" w:cs="Times New Roman"/>
                <w:noProof/>
                <w:color w:val="000000"/>
                <w:sz w:val="24"/>
                <w:szCs w:val="24"/>
                <w:lang w:val="sq-AL" w:eastAsia="sq-AL"/>
              </w:rPr>
              <w:t xml:space="preserve"> Një natë qëndrimi është çdo natë që një vizitor / turist (rezident ose jo-rezident) aktualisht shpenzon (fle apo qëndron) në një njësi akomodimi. </w:t>
            </w:r>
          </w:p>
          <w:p w14:paraId="05B4BD3F" w14:textId="77777777" w:rsidR="00987075"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Norma</w:t>
            </w:r>
            <w:r w:rsidR="005217C1">
              <w:rPr>
                <w:rFonts w:ascii="Times New Roman" w:eastAsia="Times New Roman" w:hAnsi="Times New Roman" w:cs="Times New Roman"/>
                <w:b/>
                <w:noProof/>
                <w:color w:val="000000"/>
                <w:sz w:val="24"/>
                <w:szCs w:val="24"/>
                <w:lang w:val="sq-AL" w:eastAsia="sq-AL"/>
              </w:rPr>
              <w:t xml:space="preserve"> ne</w:t>
            </w:r>
            <w:r w:rsidR="0007795F">
              <w:rPr>
                <w:rFonts w:ascii="Times New Roman" w:eastAsia="Times New Roman" w:hAnsi="Times New Roman" w:cs="Times New Roman"/>
                <w:b/>
                <w:noProof/>
                <w:color w:val="000000"/>
                <w:sz w:val="24"/>
                <w:szCs w:val="24"/>
                <w:lang w:val="sq-AL" w:eastAsia="sq-AL"/>
              </w:rPr>
              <w:t>to</w:t>
            </w:r>
            <w:r w:rsidRPr="003F7852">
              <w:rPr>
                <w:rFonts w:ascii="Times New Roman" w:eastAsia="Times New Roman" w:hAnsi="Times New Roman" w:cs="Times New Roman"/>
                <w:b/>
                <w:noProof/>
                <w:color w:val="000000"/>
                <w:sz w:val="24"/>
                <w:szCs w:val="24"/>
                <w:lang w:val="sq-AL" w:eastAsia="sq-AL"/>
              </w:rPr>
              <w:t xml:space="preserve"> e shfrytëzimit të shtretërve</w:t>
            </w:r>
            <w:r w:rsidRPr="003F7852">
              <w:rPr>
                <w:rFonts w:ascii="Times New Roman" w:eastAsia="Times New Roman" w:hAnsi="Times New Roman" w:cs="Times New Roman"/>
                <w:noProof/>
                <w:color w:val="000000"/>
                <w:sz w:val="24"/>
                <w:szCs w:val="24"/>
                <w:lang w:val="sq-AL" w:eastAsia="sq-AL"/>
              </w:rPr>
              <w:t xml:space="preserve"> =  </w:t>
            </w:r>
            <m:oMath>
              <m:f>
                <m:fPr>
                  <m:ctrlPr>
                    <w:rPr>
                      <w:rFonts w:ascii="Cambria Math" w:eastAsia="Times New Roman" w:hAnsi="Cambria Math" w:cs="Times New Roman"/>
                      <w:noProof/>
                      <w:color w:val="000000"/>
                      <w:sz w:val="24"/>
                      <w:szCs w:val="24"/>
                      <w:lang w:val="sq-AL" w:eastAsia="sq-AL"/>
                    </w:rPr>
                  </m:ctrlPr>
                </m:fPr>
                <m:num>
                  <m:r>
                    <m:rPr>
                      <m:nor/>
                    </m:rPr>
                    <w:rPr>
                      <w:rFonts w:ascii="Times New Roman" w:eastAsia="Times New Roman" w:hAnsi="Times New Roman" w:cs="Times New Roman"/>
                      <w:noProof/>
                      <w:color w:val="000000"/>
                      <w:sz w:val="24"/>
                      <w:szCs w:val="24"/>
                      <w:lang w:val="sq-AL" w:eastAsia="sq-AL"/>
                    </w:rPr>
                    <m:t>Numri i netë qëndrimeve</m:t>
                  </m:r>
                </m:num>
                <m:den>
                  <m:r>
                    <m:rPr>
                      <m:nor/>
                    </m:rPr>
                    <w:rPr>
                      <w:rFonts w:ascii="Times New Roman" w:eastAsia="Times New Roman" w:hAnsi="Times New Roman" w:cs="Times New Roman"/>
                      <w:noProof/>
                      <w:color w:val="000000"/>
                      <w:sz w:val="24"/>
                      <w:szCs w:val="24"/>
                      <w:lang w:val="sq-AL" w:eastAsia="sq-AL"/>
                    </w:rPr>
                    <m:t>Numri i shtretërve të disponueshëm</m:t>
                  </m:r>
                </m:den>
              </m:f>
              <m:r>
                <m:rPr>
                  <m:sty m:val="p"/>
                </m:rPr>
                <w:rPr>
                  <w:rFonts w:ascii="Cambria Math" w:eastAsia="Times New Roman" w:hAnsi="Cambria Math" w:cs="Times New Roman"/>
                  <w:noProof/>
                  <w:color w:val="000000"/>
                  <w:sz w:val="24"/>
                  <w:szCs w:val="24"/>
                  <w:lang w:val="sq-AL" w:eastAsia="sq-AL"/>
                </w:rPr>
                <m:t>*100</m:t>
              </m:r>
            </m:oMath>
            <w:r w:rsidRPr="003F7852">
              <w:rPr>
                <w:rFonts w:ascii="Times New Roman" w:eastAsia="Times New Roman" w:hAnsi="Times New Roman" w:cs="Times New Roman"/>
                <w:noProof/>
                <w:color w:val="000000"/>
                <w:sz w:val="24"/>
                <w:szCs w:val="24"/>
                <w:lang w:val="sq-AL" w:eastAsia="sq-AL"/>
              </w:rPr>
              <w:t xml:space="preserve"> që mat përqindjen e shfrytëzimit të shtretërve për “Hotelet dhe akomodime të ngjashme”.</w:t>
            </w:r>
          </w:p>
          <w:p w14:paraId="01CCBFA8" w14:textId="77777777" w:rsidR="003C47EF" w:rsidRPr="003F7852" w:rsidRDefault="00987075"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noProof/>
                <w:color w:val="000000"/>
                <w:sz w:val="24"/>
                <w:szCs w:val="24"/>
                <w:lang w:val="sq-AL" w:eastAsia="sq-AL"/>
              </w:rPr>
              <w:t>Norma</w:t>
            </w:r>
            <w:r w:rsidR="0007795F">
              <w:rPr>
                <w:rFonts w:ascii="Times New Roman" w:eastAsia="Times New Roman" w:hAnsi="Times New Roman" w:cs="Times New Roman"/>
                <w:b/>
                <w:noProof/>
                <w:color w:val="000000"/>
                <w:sz w:val="24"/>
                <w:szCs w:val="24"/>
                <w:lang w:val="sq-AL" w:eastAsia="sq-AL"/>
              </w:rPr>
              <w:t xml:space="preserve"> neto</w:t>
            </w:r>
            <w:r w:rsidRPr="003F7852">
              <w:rPr>
                <w:rFonts w:ascii="Times New Roman" w:eastAsia="Times New Roman" w:hAnsi="Times New Roman" w:cs="Times New Roman"/>
                <w:b/>
                <w:noProof/>
                <w:color w:val="000000"/>
                <w:sz w:val="24"/>
                <w:szCs w:val="24"/>
                <w:lang w:val="sq-AL" w:eastAsia="sq-AL"/>
              </w:rPr>
              <w:t xml:space="preserve"> e shfrytëzimit të dhomave</w:t>
            </w:r>
            <w:r w:rsidRPr="003F7852">
              <w:rPr>
                <w:rFonts w:ascii="Times New Roman" w:eastAsia="Times New Roman" w:hAnsi="Times New Roman" w:cs="Times New Roman"/>
                <w:noProof/>
                <w:color w:val="000000"/>
                <w:sz w:val="24"/>
                <w:szCs w:val="24"/>
                <w:lang w:val="sq-AL" w:eastAsia="sq-AL"/>
              </w:rPr>
              <w:t xml:space="preserve"> =  </w:t>
            </w:r>
            <m:oMath>
              <m:f>
                <m:fPr>
                  <m:ctrlPr>
                    <w:rPr>
                      <w:rFonts w:ascii="Cambria Math" w:eastAsia="Times New Roman" w:hAnsi="Cambria Math" w:cs="Times New Roman"/>
                      <w:noProof/>
                      <w:color w:val="000000"/>
                      <w:sz w:val="24"/>
                      <w:szCs w:val="24"/>
                      <w:lang w:val="sq-AL" w:eastAsia="sq-AL"/>
                    </w:rPr>
                  </m:ctrlPr>
                </m:fPr>
                <m:num>
                  <m:r>
                    <m:rPr>
                      <m:nor/>
                    </m:rPr>
                    <w:rPr>
                      <w:rFonts w:ascii="Times New Roman" w:eastAsia="Times New Roman" w:hAnsi="Times New Roman" w:cs="Times New Roman"/>
                      <w:noProof/>
                      <w:color w:val="000000"/>
                      <w:sz w:val="24"/>
                      <w:szCs w:val="24"/>
                      <w:lang w:val="sq-AL" w:eastAsia="sq-AL"/>
                    </w:rPr>
                    <m:t>Numri i dhomave të zëna</m:t>
                  </m:r>
                </m:num>
                <m:den>
                  <m:r>
                    <m:rPr>
                      <m:nor/>
                    </m:rPr>
                    <w:rPr>
                      <w:rFonts w:ascii="Times New Roman" w:eastAsia="Times New Roman" w:hAnsi="Times New Roman" w:cs="Times New Roman"/>
                      <w:noProof/>
                      <w:color w:val="000000"/>
                      <w:sz w:val="24"/>
                      <w:szCs w:val="24"/>
                      <w:lang w:val="sq-AL" w:eastAsia="sq-AL"/>
                    </w:rPr>
                    <m:t>Numri i dhomave të disponueshme</m:t>
                  </m:r>
                </m:den>
              </m:f>
              <m:r>
                <m:rPr>
                  <m:sty m:val="p"/>
                </m:rPr>
                <w:rPr>
                  <w:rFonts w:ascii="Cambria Math" w:eastAsia="Times New Roman" w:hAnsi="Cambria Math" w:cs="Times New Roman"/>
                  <w:noProof/>
                  <w:color w:val="000000"/>
                  <w:sz w:val="24"/>
                  <w:szCs w:val="24"/>
                  <w:lang w:val="sq-AL" w:eastAsia="sq-AL"/>
                </w:rPr>
                <m:t>*100</m:t>
              </m:r>
            </m:oMath>
            <w:r w:rsidRPr="003F7852">
              <w:rPr>
                <w:rFonts w:ascii="Times New Roman" w:eastAsia="Times New Roman" w:hAnsi="Times New Roman" w:cs="Times New Roman"/>
                <w:noProof/>
                <w:color w:val="000000"/>
                <w:sz w:val="24"/>
                <w:szCs w:val="24"/>
                <w:lang w:val="sq-AL" w:eastAsia="sq-AL"/>
              </w:rPr>
              <w:t xml:space="preserve"> që tregon përqindjen e shfrytëzimit të dhomave për “Hotelet dhe akomodime të ngjashme”.</w:t>
            </w:r>
          </w:p>
        </w:tc>
      </w:tr>
      <w:tr w:rsidR="00B15F7B" w:rsidRPr="003F7852" w14:paraId="1E5388A9" w14:textId="77777777" w:rsidTr="00F50383">
        <w:trPr>
          <w:trHeight w:val="1421"/>
        </w:trPr>
        <w:tc>
          <w:tcPr>
            <w:tcW w:w="2518" w:type="dxa"/>
            <w:shd w:val="clear" w:color="auto" w:fill="FFFFCC"/>
            <w:vAlign w:val="center"/>
            <w:hideMark/>
          </w:tcPr>
          <w:p w14:paraId="284CC1E8" w14:textId="77777777" w:rsidR="00CD6D1C" w:rsidRPr="003F7852" w:rsidRDefault="00CD6D1C" w:rsidP="00B30A77">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3.5. Njësia statistikore</w:t>
            </w:r>
          </w:p>
        </w:tc>
        <w:tc>
          <w:tcPr>
            <w:tcW w:w="8164" w:type="dxa"/>
            <w:shd w:val="clear" w:color="auto" w:fill="auto"/>
            <w:noWrap/>
            <w:vAlign w:val="center"/>
            <w:hideMark/>
          </w:tcPr>
          <w:p w14:paraId="23B7A851" w14:textId="77777777" w:rsidR="003C47EF" w:rsidRPr="003F7852" w:rsidRDefault="003C47EF" w:rsidP="00FB1E98">
            <w:pPr>
              <w:spacing w:before="240"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Njësitë vendore me sektorë ekonomikë: NVE Rev.2 55.1; 55.2; 55.3 sa herë që ky informacion është i disponueshëm në </w:t>
            </w:r>
            <w:r w:rsidRPr="003F7852">
              <w:rPr>
                <w:rFonts w:ascii="Times New Roman" w:eastAsia="Times New Roman" w:hAnsi="Times New Roman" w:cs="Times New Roman"/>
                <w:i/>
                <w:iCs/>
                <w:noProof/>
                <w:color w:val="000000"/>
                <w:sz w:val="24"/>
                <w:szCs w:val="24"/>
                <w:lang w:val="sq-AL" w:eastAsia="sq-AL"/>
              </w:rPr>
              <w:t>nivel të njësisë lokale</w:t>
            </w:r>
            <w:r w:rsidRPr="003F7852">
              <w:rPr>
                <w:rFonts w:ascii="Times New Roman" w:eastAsia="Times New Roman" w:hAnsi="Times New Roman" w:cs="Times New Roman"/>
                <w:noProof/>
                <w:color w:val="000000"/>
                <w:sz w:val="24"/>
                <w:szCs w:val="24"/>
                <w:lang w:val="sq-AL" w:eastAsia="sq-AL"/>
              </w:rPr>
              <w:t>; dhe</w:t>
            </w:r>
          </w:p>
          <w:p w14:paraId="57C0E665" w14:textId="77777777" w:rsidR="00CD6D1C" w:rsidRPr="003F7852" w:rsidRDefault="003C47EF" w:rsidP="00FB1E98">
            <w:pPr>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Ndërmarrjet me aktivitete kryesore / </w:t>
            </w:r>
            <w:r w:rsidR="0059335D" w:rsidRPr="003F7852">
              <w:rPr>
                <w:rFonts w:ascii="Times New Roman" w:eastAsia="Times New Roman" w:hAnsi="Times New Roman" w:cs="Times New Roman"/>
                <w:noProof/>
                <w:color w:val="000000"/>
                <w:sz w:val="24"/>
                <w:szCs w:val="24"/>
                <w:lang w:val="sq-AL" w:eastAsia="sq-AL"/>
              </w:rPr>
              <w:t>dytësore</w:t>
            </w:r>
            <w:r w:rsidRPr="003F7852">
              <w:rPr>
                <w:rFonts w:ascii="Times New Roman" w:eastAsia="Times New Roman" w:hAnsi="Times New Roman" w:cs="Times New Roman"/>
                <w:noProof/>
                <w:color w:val="000000"/>
                <w:sz w:val="24"/>
                <w:szCs w:val="24"/>
                <w:lang w:val="sq-AL" w:eastAsia="sq-AL"/>
              </w:rPr>
              <w:t xml:space="preserve"> në NVE Rev.2 55.1; 55.2; 55.3.</w:t>
            </w:r>
          </w:p>
        </w:tc>
      </w:tr>
      <w:tr w:rsidR="00E43898" w:rsidRPr="003F7852" w14:paraId="6DAD5B2F" w14:textId="77777777" w:rsidTr="00F50383">
        <w:trPr>
          <w:trHeight w:val="1790"/>
        </w:trPr>
        <w:tc>
          <w:tcPr>
            <w:tcW w:w="2518" w:type="dxa"/>
            <w:shd w:val="clear" w:color="auto" w:fill="FFFFCC"/>
            <w:vAlign w:val="center"/>
            <w:hideMark/>
          </w:tcPr>
          <w:p w14:paraId="05AE7851"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3.6. Popullata statistikore </w:t>
            </w:r>
          </w:p>
        </w:tc>
        <w:tc>
          <w:tcPr>
            <w:tcW w:w="8164" w:type="dxa"/>
            <w:shd w:val="clear" w:color="auto" w:fill="auto"/>
            <w:vAlign w:val="center"/>
          </w:tcPr>
          <w:p w14:paraId="114A6264" w14:textId="77777777" w:rsidR="00E43898" w:rsidRPr="003F7852" w:rsidRDefault="003C47EF"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gjitha njësitë lokale (strukturat akomoduese) që ofrojnë akomodim me qëndrim të shkurtër si një shërbim të paguar (edhe pse çmimi mund të jetë pjesërisht ose tërësisht i subvencionuar) për turistët siç përcaktohet në NVE Rev.2 55.1, 55.2 dhe 55.3.</w:t>
            </w:r>
          </w:p>
        </w:tc>
      </w:tr>
      <w:tr w:rsidR="00B15F7B" w:rsidRPr="003F7852" w14:paraId="56310B68" w14:textId="77777777" w:rsidTr="00F50383">
        <w:trPr>
          <w:trHeight w:val="908"/>
        </w:trPr>
        <w:tc>
          <w:tcPr>
            <w:tcW w:w="2518" w:type="dxa"/>
            <w:shd w:val="clear" w:color="auto" w:fill="FFFFCC"/>
            <w:vAlign w:val="center"/>
            <w:hideMark/>
          </w:tcPr>
          <w:p w14:paraId="2E901781" w14:textId="77777777" w:rsidR="00343A0D" w:rsidRPr="003F7852" w:rsidRDefault="00343A0D"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3.7. Zona e referencës</w:t>
            </w:r>
          </w:p>
        </w:tc>
        <w:tc>
          <w:tcPr>
            <w:tcW w:w="8164" w:type="dxa"/>
            <w:shd w:val="clear" w:color="auto" w:fill="auto"/>
            <w:noWrap/>
            <w:vAlign w:val="center"/>
            <w:hideMark/>
          </w:tcPr>
          <w:p w14:paraId="68E28C66" w14:textId="0FA91B6D" w:rsidR="00343A0D" w:rsidRPr="003F7852" w:rsidRDefault="003C47EF"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Statistikat e akomodimit mbulojnë </w:t>
            </w:r>
            <w:r w:rsidR="0003619E">
              <w:rPr>
                <w:rFonts w:ascii="Times New Roman" w:eastAsia="Times New Roman" w:hAnsi="Times New Roman" w:cs="Times New Roman"/>
                <w:noProof/>
                <w:color w:val="000000"/>
                <w:sz w:val="24"/>
                <w:szCs w:val="24"/>
                <w:lang w:val="sq-AL" w:eastAsia="sq-AL"/>
              </w:rPr>
              <w:t xml:space="preserve">gjithë </w:t>
            </w:r>
            <w:r w:rsidRPr="003F7852">
              <w:rPr>
                <w:rFonts w:ascii="Times New Roman" w:eastAsia="Times New Roman" w:hAnsi="Times New Roman" w:cs="Times New Roman"/>
                <w:noProof/>
                <w:color w:val="000000"/>
                <w:sz w:val="24"/>
                <w:szCs w:val="24"/>
                <w:lang w:val="sq-AL" w:eastAsia="sq-AL"/>
              </w:rPr>
              <w:t>territorin e Shqipërisë.</w:t>
            </w:r>
          </w:p>
        </w:tc>
      </w:tr>
      <w:tr w:rsidR="00E43898" w:rsidRPr="003F7852" w14:paraId="0B59771A" w14:textId="77777777" w:rsidTr="00F50383">
        <w:trPr>
          <w:trHeight w:val="3023"/>
        </w:trPr>
        <w:tc>
          <w:tcPr>
            <w:tcW w:w="2518" w:type="dxa"/>
            <w:shd w:val="clear" w:color="auto" w:fill="FFFFCC"/>
            <w:vAlign w:val="center"/>
            <w:hideMark/>
          </w:tcPr>
          <w:p w14:paraId="328F7344"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3.8. </w:t>
            </w:r>
            <w:r w:rsidRPr="003F7852">
              <w:rPr>
                <w:rFonts w:ascii="Times New Roman" w:eastAsia="Times New Roman" w:hAnsi="Times New Roman" w:cs="Times New Roman"/>
                <w:noProof/>
                <w:color w:val="000000" w:themeColor="text1"/>
                <w:sz w:val="24"/>
                <w:szCs w:val="24"/>
                <w:lang w:val="sq-AL" w:eastAsia="sq-AL"/>
              </w:rPr>
              <w:t>Mbulimi në kohë</w:t>
            </w:r>
            <w:r w:rsidRPr="003F7852">
              <w:rPr>
                <w:rFonts w:ascii="Times New Roman" w:eastAsia="Times New Roman" w:hAnsi="Times New Roman" w:cs="Times New Roman"/>
                <w:noProof/>
                <w:color w:val="000000"/>
                <w:sz w:val="24"/>
                <w:szCs w:val="24"/>
                <w:lang w:val="sq-AL" w:eastAsia="sq-AL"/>
              </w:rPr>
              <w:t> </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6549"/>
              <w:gridCol w:w="1389"/>
            </w:tblGrid>
            <w:tr w:rsidR="003C47EF" w:rsidRPr="003F7852" w14:paraId="4EEF0947" w14:textId="77777777" w:rsidTr="006E67C0">
              <w:trPr>
                <w:trHeight w:val="454"/>
              </w:trPr>
              <w:tc>
                <w:tcPr>
                  <w:tcW w:w="6549" w:type="dxa"/>
                  <w:vAlign w:val="center"/>
                  <w:hideMark/>
                </w:tcPr>
                <w:p w14:paraId="4445D36A" w14:textId="77777777" w:rsidR="003C47EF" w:rsidRPr="003F7852" w:rsidRDefault="003C47EF" w:rsidP="006E67C0">
                  <w:pPr>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3.8.1 Hotele dhe akomodime të ngjashme (NVE 55.1) (Viti)</w:t>
                  </w:r>
                </w:p>
              </w:tc>
              <w:tc>
                <w:tcPr>
                  <w:tcW w:w="1389" w:type="dxa"/>
                  <w:vAlign w:val="center"/>
                  <w:hideMark/>
                </w:tcPr>
                <w:p w14:paraId="45CC6FEF" w14:textId="77777777" w:rsidR="003C47EF" w:rsidRPr="003F7852" w:rsidRDefault="003D5F98" w:rsidP="006E67C0">
                  <w:pPr>
                    <w:spacing w:before="30" w:after="30"/>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2018</w:t>
                  </w:r>
                </w:p>
              </w:tc>
            </w:tr>
            <w:tr w:rsidR="003C47EF" w:rsidRPr="003F7852" w14:paraId="21578F5A" w14:textId="77777777" w:rsidTr="006E67C0">
              <w:tc>
                <w:tcPr>
                  <w:tcW w:w="6549" w:type="dxa"/>
                  <w:vAlign w:val="center"/>
                  <w:hideMark/>
                </w:tcPr>
                <w:p w14:paraId="4343C062" w14:textId="77777777" w:rsidR="003C47EF" w:rsidRPr="003F7852" w:rsidRDefault="003C47EF" w:rsidP="006E67C0">
                  <w:pPr>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3.8.2 Akomodime për pushime dhe të tjera akomodime afatshkurtra (NVE 55.2) (Viti)</w:t>
                  </w:r>
                </w:p>
              </w:tc>
              <w:tc>
                <w:tcPr>
                  <w:tcW w:w="1389" w:type="dxa"/>
                  <w:vAlign w:val="center"/>
                  <w:hideMark/>
                </w:tcPr>
                <w:p w14:paraId="19385668" w14:textId="77777777" w:rsidR="003C47EF" w:rsidRPr="003F7852" w:rsidRDefault="003D5F98" w:rsidP="006E67C0">
                  <w:pPr>
                    <w:spacing w:before="30" w:after="30"/>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2018</w:t>
                  </w:r>
                </w:p>
              </w:tc>
            </w:tr>
            <w:tr w:rsidR="003C47EF" w:rsidRPr="003F7852" w14:paraId="562645C9" w14:textId="77777777" w:rsidTr="006E67C0">
              <w:tc>
                <w:tcPr>
                  <w:tcW w:w="6549" w:type="dxa"/>
                  <w:vAlign w:val="center"/>
                  <w:hideMark/>
                </w:tcPr>
                <w:p w14:paraId="372332AF" w14:textId="77777777" w:rsidR="003C47EF" w:rsidRPr="003F7852" w:rsidRDefault="003C47EF" w:rsidP="006E67C0">
                  <w:pPr>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3.8.3 Hapësirat për kampingje dhe për parqe, për çadra ose rulota argëtimi, etj. (NVE 55.3) (Viti)</w:t>
                  </w:r>
                </w:p>
              </w:tc>
              <w:tc>
                <w:tcPr>
                  <w:tcW w:w="1389" w:type="dxa"/>
                  <w:vAlign w:val="center"/>
                  <w:hideMark/>
                </w:tcPr>
                <w:p w14:paraId="5C5C25E2" w14:textId="77777777" w:rsidR="003C47EF" w:rsidRPr="003F7852" w:rsidRDefault="003D5F98" w:rsidP="006E67C0">
                  <w:pPr>
                    <w:spacing w:before="30" w:after="30"/>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2018</w:t>
                  </w:r>
                </w:p>
              </w:tc>
            </w:tr>
            <w:tr w:rsidR="003C47EF" w:rsidRPr="003F7852" w14:paraId="554FEE5F" w14:textId="77777777" w:rsidTr="006E67C0">
              <w:tc>
                <w:tcPr>
                  <w:tcW w:w="6549" w:type="dxa"/>
                  <w:vAlign w:val="center"/>
                  <w:hideMark/>
                </w:tcPr>
                <w:p w14:paraId="1550256F" w14:textId="77777777" w:rsidR="003C47EF" w:rsidRPr="003F7852" w:rsidRDefault="003C47EF" w:rsidP="006E67C0">
                  <w:pPr>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3.8.4 Komente shtesë (p.sh. nëse janë të ndryshme për CAP ose OCC, seritë e vjetra për disa</w:t>
                  </w:r>
                  <w:r w:rsidR="003D5F98" w:rsidRPr="003F7852">
                    <w:rPr>
                      <w:rFonts w:ascii="Times New Roman" w:eastAsia="Times New Roman" w:hAnsi="Times New Roman" w:cs="Times New Roman"/>
                      <w:sz w:val="24"/>
                      <w:szCs w:val="24"/>
                      <w:lang w:val="sq-AL"/>
                    </w:rPr>
                    <w:t xml:space="preserve"> tregues</w:t>
                  </w:r>
                  <w:r w:rsidRPr="003F7852">
                    <w:rPr>
                      <w:rFonts w:ascii="Times New Roman" w:eastAsia="Times New Roman" w:hAnsi="Times New Roman" w:cs="Times New Roman"/>
                      <w:sz w:val="24"/>
                      <w:szCs w:val="24"/>
                      <w:lang w:val="sq-AL"/>
                    </w:rPr>
                    <w:t>, inkoherenc</w:t>
                  </w:r>
                  <w:r w:rsidR="003D5F98" w:rsidRPr="003F7852">
                    <w:rPr>
                      <w:rFonts w:ascii="Times New Roman" w:eastAsia="Times New Roman" w:hAnsi="Times New Roman" w:cs="Times New Roman"/>
                      <w:sz w:val="24"/>
                      <w:szCs w:val="24"/>
                      <w:lang w:val="sq-AL"/>
                    </w:rPr>
                    <w:t>ë</w:t>
                  </w:r>
                  <w:r w:rsidRPr="003F7852">
                    <w:rPr>
                      <w:rFonts w:ascii="Times New Roman" w:eastAsia="Times New Roman" w:hAnsi="Times New Roman" w:cs="Times New Roman"/>
                      <w:sz w:val="24"/>
                      <w:szCs w:val="24"/>
                      <w:lang w:val="sq-AL"/>
                    </w:rPr>
                    <w:t xml:space="preserve"> nëpër rajoneve, etj)</w:t>
                  </w:r>
                </w:p>
              </w:tc>
              <w:tc>
                <w:tcPr>
                  <w:tcW w:w="1389" w:type="dxa"/>
                  <w:vAlign w:val="center"/>
                  <w:hideMark/>
                </w:tcPr>
                <w:p w14:paraId="3EB8DF01" w14:textId="77777777" w:rsidR="003C47EF" w:rsidRPr="003F7852" w:rsidRDefault="003C47EF" w:rsidP="006E67C0">
                  <w:pPr>
                    <w:rPr>
                      <w:rFonts w:ascii="Times New Roman" w:eastAsia="Times New Roman" w:hAnsi="Times New Roman" w:cs="Times New Roman"/>
                      <w:sz w:val="20"/>
                      <w:szCs w:val="20"/>
                      <w:lang w:val="sq-AL"/>
                    </w:rPr>
                  </w:pPr>
                </w:p>
              </w:tc>
            </w:tr>
          </w:tbl>
          <w:p w14:paraId="76789783"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p>
        </w:tc>
      </w:tr>
      <w:tr w:rsidR="00B15F7B" w:rsidRPr="003F7852" w14:paraId="4B5ADE0C" w14:textId="77777777" w:rsidTr="00F50383">
        <w:trPr>
          <w:trHeight w:val="818"/>
        </w:trPr>
        <w:tc>
          <w:tcPr>
            <w:tcW w:w="2518" w:type="dxa"/>
            <w:shd w:val="clear" w:color="auto" w:fill="FFFFCC"/>
            <w:noWrap/>
            <w:vAlign w:val="center"/>
            <w:hideMark/>
          </w:tcPr>
          <w:p w14:paraId="023AD353" w14:textId="77777777" w:rsidR="00343A0D" w:rsidRPr="003F7852" w:rsidRDefault="00343A0D"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3.9. Periudha bazë</w:t>
            </w:r>
          </w:p>
        </w:tc>
        <w:tc>
          <w:tcPr>
            <w:tcW w:w="8164" w:type="dxa"/>
            <w:shd w:val="clear" w:color="auto" w:fill="auto"/>
            <w:noWrap/>
            <w:vAlign w:val="center"/>
            <w:hideMark/>
          </w:tcPr>
          <w:p w14:paraId="25C9D771" w14:textId="77777777" w:rsidR="00343A0D" w:rsidRPr="003F7852" w:rsidRDefault="003D5F98" w:rsidP="0059335D">
            <w:pPr>
              <w:spacing w:before="24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Nuk aplikohet.</w:t>
            </w:r>
          </w:p>
        </w:tc>
      </w:tr>
      <w:tr w:rsidR="00B15F7B" w:rsidRPr="003F7852" w14:paraId="7541671F" w14:textId="77777777" w:rsidTr="00C45E72">
        <w:trPr>
          <w:trHeight w:val="562"/>
        </w:trPr>
        <w:tc>
          <w:tcPr>
            <w:tcW w:w="2518" w:type="dxa"/>
            <w:shd w:val="clear" w:color="auto" w:fill="FBD4B4" w:themeFill="accent6" w:themeFillTint="66"/>
            <w:noWrap/>
            <w:vAlign w:val="center"/>
            <w:hideMark/>
          </w:tcPr>
          <w:p w14:paraId="78055496" w14:textId="77777777" w:rsidR="00343A0D" w:rsidRPr="003F7852"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9204577"/>
            <w:r w:rsidRPr="003F7852">
              <w:rPr>
                <w:rFonts w:ascii="Times New Roman" w:eastAsia="Times New Roman" w:hAnsi="Times New Roman" w:cs="Times New Roman"/>
                <w:noProof/>
                <w:color w:val="000000"/>
                <w:sz w:val="24"/>
                <w:szCs w:val="24"/>
                <w:lang w:val="sq-AL" w:eastAsia="sq-AL"/>
              </w:rPr>
              <w:lastRenderedPageBreak/>
              <w:t>4</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Njësia matëse</w:t>
            </w:r>
            <w:bookmarkEnd w:id="4"/>
          </w:p>
        </w:tc>
        <w:tc>
          <w:tcPr>
            <w:tcW w:w="8164" w:type="dxa"/>
            <w:shd w:val="clear" w:color="auto" w:fill="auto"/>
            <w:noWrap/>
            <w:vAlign w:val="center"/>
            <w:hideMark/>
          </w:tcPr>
          <w:p w14:paraId="7F8B03B6" w14:textId="77777777" w:rsidR="0059335D" w:rsidRPr="003F7852" w:rsidRDefault="0002521D" w:rsidP="00FB1E98">
            <w:pPr>
              <w:spacing w:before="240"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Kapaciteti: Vlera absolute.</w:t>
            </w:r>
          </w:p>
          <w:p w14:paraId="131A5BD3" w14:textId="77777777" w:rsidR="00343A0D" w:rsidRPr="003F7852" w:rsidRDefault="0002521D" w:rsidP="00FB1E98">
            <w:pPr>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Shfrytëzimi: Vlera absolute dhe përqindje.</w:t>
            </w:r>
          </w:p>
        </w:tc>
      </w:tr>
      <w:tr w:rsidR="00B15F7B" w:rsidRPr="003F7852" w14:paraId="3A5060AA" w14:textId="77777777" w:rsidTr="00F50383">
        <w:trPr>
          <w:trHeight w:val="1610"/>
        </w:trPr>
        <w:tc>
          <w:tcPr>
            <w:tcW w:w="2518" w:type="dxa"/>
            <w:shd w:val="clear" w:color="auto" w:fill="FBD4B4" w:themeFill="accent6" w:themeFillTint="66"/>
            <w:noWrap/>
            <w:vAlign w:val="center"/>
            <w:hideMark/>
          </w:tcPr>
          <w:p w14:paraId="691DF650" w14:textId="77777777" w:rsidR="00343A0D" w:rsidRPr="003F7852"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69204578"/>
            <w:r w:rsidRPr="003F7852">
              <w:rPr>
                <w:rFonts w:ascii="Times New Roman" w:eastAsia="Times New Roman" w:hAnsi="Times New Roman" w:cs="Times New Roman"/>
                <w:noProof/>
                <w:color w:val="000000"/>
                <w:sz w:val="24"/>
                <w:szCs w:val="24"/>
                <w:lang w:val="sq-AL" w:eastAsia="sq-AL"/>
              </w:rPr>
              <w:t>5</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Periudha e referencës</w:t>
            </w:r>
            <w:bookmarkEnd w:id="5"/>
          </w:p>
        </w:tc>
        <w:tc>
          <w:tcPr>
            <w:tcW w:w="8164" w:type="dxa"/>
            <w:shd w:val="clear" w:color="auto" w:fill="auto"/>
            <w:noWrap/>
            <w:vAlign w:val="center"/>
            <w:hideMark/>
          </w:tcPr>
          <w:tbl>
            <w:tblPr>
              <w:tblStyle w:val="TableGrid"/>
              <w:tblW w:w="8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6"/>
              <w:gridCol w:w="4398"/>
            </w:tblGrid>
            <w:tr w:rsidR="0002521D" w:rsidRPr="001564C0" w14:paraId="643902F0" w14:textId="77777777" w:rsidTr="006E67C0">
              <w:trPr>
                <w:trHeight w:val="510"/>
              </w:trPr>
              <w:tc>
                <w:tcPr>
                  <w:tcW w:w="2323" w:type="pct"/>
                  <w:vAlign w:val="center"/>
                  <w:hideMark/>
                </w:tcPr>
                <w:p w14:paraId="3D7F4430" w14:textId="77777777" w:rsidR="0002521D" w:rsidRPr="001564C0" w:rsidRDefault="0002521D" w:rsidP="006E67C0">
                  <w:pPr>
                    <w:rPr>
                      <w:rFonts w:ascii="Times New Roman" w:eastAsia="Times New Roman" w:hAnsi="Times New Roman" w:cs="Times New Roman"/>
                      <w:color w:val="000000"/>
                      <w:sz w:val="24"/>
                      <w:szCs w:val="24"/>
                      <w:lang w:val="sq-AL"/>
                    </w:rPr>
                  </w:pPr>
                  <w:r w:rsidRPr="001564C0">
                    <w:rPr>
                      <w:rFonts w:ascii="Times New Roman" w:eastAsia="Times New Roman" w:hAnsi="Times New Roman" w:cs="Times New Roman"/>
                      <w:color w:val="000000"/>
                      <w:sz w:val="24"/>
                      <w:szCs w:val="24"/>
                      <w:lang w:val="sq-AL"/>
                    </w:rPr>
                    <w:t xml:space="preserve">5.1 </w:t>
                  </w:r>
                  <w:r w:rsidRPr="001564C0">
                    <w:rPr>
                      <w:rFonts w:ascii="Times New Roman" w:hAnsi="Times New Roman" w:cs="Times New Roman"/>
                      <w:bCs/>
                      <w:sz w:val="24"/>
                      <w:szCs w:val="24"/>
                      <w:lang w:val="sq-AL"/>
                    </w:rPr>
                    <w:t>Kapaciteti</w:t>
                  </w:r>
                </w:p>
              </w:tc>
              <w:tc>
                <w:tcPr>
                  <w:tcW w:w="2677" w:type="pct"/>
                  <w:vAlign w:val="center"/>
                  <w:hideMark/>
                </w:tcPr>
                <w:p w14:paraId="5667B935" w14:textId="0CCE21BA" w:rsidR="0002521D" w:rsidRPr="001564C0" w:rsidRDefault="00FB1E98" w:rsidP="006E67C0">
                  <w:pPr>
                    <w:spacing w:before="30" w:after="30"/>
                    <w:rPr>
                      <w:rFonts w:ascii="Times New Roman" w:eastAsia="Times New Roman" w:hAnsi="Times New Roman" w:cs="Times New Roman"/>
                      <w:color w:val="000000"/>
                      <w:sz w:val="24"/>
                      <w:szCs w:val="24"/>
                      <w:lang w:val="sq-AL"/>
                    </w:rPr>
                  </w:pPr>
                  <w:r w:rsidRPr="001564C0">
                    <w:rPr>
                      <w:rFonts w:ascii="Times New Roman" w:eastAsia="Times New Roman" w:hAnsi="Times New Roman" w:cs="Times New Roman"/>
                      <w:color w:val="000000"/>
                      <w:sz w:val="24"/>
                      <w:szCs w:val="24"/>
                      <w:lang w:val="sq-AL"/>
                    </w:rPr>
                    <w:t>2020</w:t>
                  </w:r>
                </w:p>
              </w:tc>
            </w:tr>
            <w:tr w:rsidR="0002521D" w:rsidRPr="003F7852" w14:paraId="2CC9E230" w14:textId="77777777" w:rsidTr="006E67C0">
              <w:trPr>
                <w:trHeight w:val="659"/>
              </w:trPr>
              <w:tc>
                <w:tcPr>
                  <w:tcW w:w="2323" w:type="pct"/>
                  <w:vAlign w:val="center"/>
                  <w:hideMark/>
                </w:tcPr>
                <w:p w14:paraId="7A32A579" w14:textId="77777777" w:rsidR="0002521D" w:rsidRPr="001564C0" w:rsidRDefault="0002521D" w:rsidP="006E67C0">
                  <w:pPr>
                    <w:rPr>
                      <w:rFonts w:ascii="Times New Roman" w:eastAsia="Times New Roman" w:hAnsi="Times New Roman" w:cs="Times New Roman"/>
                      <w:color w:val="000000"/>
                      <w:sz w:val="24"/>
                      <w:szCs w:val="24"/>
                      <w:lang w:val="sq-AL"/>
                    </w:rPr>
                  </w:pPr>
                  <w:r w:rsidRPr="001564C0">
                    <w:rPr>
                      <w:rFonts w:ascii="Times New Roman" w:eastAsia="Times New Roman" w:hAnsi="Times New Roman" w:cs="Times New Roman"/>
                      <w:color w:val="000000"/>
                      <w:sz w:val="24"/>
                      <w:szCs w:val="24"/>
                      <w:lang w:val="sq-AL"/>
                    </w:rPr>
                    <w:t xml:space="preserve">5.2 </w:t>
                  </w:r>
                  <w:r w:rsidRPr="001564C0">
                    <w:rPr>
                      <w:rFonts w:ascii="Times New Roman" w:hAnsi="Times New Roman" w:cs="Times New Roman"/>
                      <w:bCs/>
                      <w:lang w:val="sq-AL"/>
                    </w:rPr>
                    <w:t>Shfrytëzimi</w:t>
                  </w:r>
                </w:p>
              </w:tc>
              <w:tc>
                <w:tcPr>
                  <w:tcW w:w="2677" w:type="pct"/>
                  <w:vAlign w:val="center"/>
                  <w:hideMark/>
                </w:tcPr>
                <w:p w14:paraId="04030F91" w14:textId="580142FB" w:rsidR="0002521D" w:rsidRPr="001564C0" w:rsidRDefault="00D94A3E" w:rsidP="006E67C0">
                  <w:pPr>
                    <w:spacing w:before="30" w:after="30" w:line="276" w:lineRule="auto"/>
                    <w:rPr>
                      <w:rFonts w:ascii="Times New Roman" w:eastAsia="Times New Roman" w:hAnsi="Times New Roman" w:cs="Times New Roman"/>
                      <w:color w:val="000000"/>
                      <w:sz w:val="24"/>
                      <w:szCs w:val="24"/>
                      <w:lang w:val="sq-AL"/>
                    </w:rPr>
                  </w:pPr>
                  <w:r w:rsidRPr="001564C0">
                    <w:rPr>
                      <w:rFonts w:ascii="Times New Roman" w:eastAsia="Times New Roman" w:hAnsi="Times New Roman" w:cs="Times New Roman"/>
                      <w:color w:val="000000"/>
                      <w:sz w:val="24"/>
                      <w:szCs w:val="24"/>
                      <w:lang w:val="sq-AL"/>
                    </w:rPr>
                    <w:t xml:space="preserve">Vjetore </w:t>
                  </w:r>
                  <w:r w:rsidR="0002521D" w:rsidRPr="001564C0">
                    <w:rPr>
                      <w:rFonts w:ascii="Times New Roman" w:eastAsia="Times New Roman" w:hAnsi="Times New Roman" w:cs="Times New Roman"/>
                      <w:color w:val="000000"/>
                      <w:sz w:val="24"/>
                      <w:szCs w:val="24"/>
                      <w:lang w:val="sq-AL"/>
                    </w:rPr>
                    <w:t>= 20</w:t>
                  </w:r>
                  <w:r w:rsidR="00FB1E98" w:rsidRPr="001564C0">
                    <w:rPr>
                      <w:rFonts w:ascii="Times New Roman" w:eastAsia="Times New Roman" w:hAnsi="Times New Roman" w:cs="Times New Roman"/>
                      <w:color w:val="000000"/>
                      <w:sz w:val="24"/>
                      <w:szCs w:val="24"/>
                      <w:lang w:val="sq-AL"/>
                    </w:rPr>
                    <w:t>20</w:t>
                  </w:r>
                </w:p>
                <w:p w14:paraId="0478E3DA" w14:textId="764CE384" w:rsidR="0002521D" w:rsidRPr="001564C0" w:rsidRDefault="00D94A3E" w:rsidP="001564C0">
                  <w:pPr>
                    <w:spacing w:before="30" w:after="30"/>
                    <w:rPr>
                      <w:rFonts w:ascii="Times New Roman" w:eastAsia="Times New Roman" w:hAnsi="Times New Roman" w:cs="Times New Roman"/>
                      <w:color w:val="000000"/>
                      <w:sz w:val="24"/>
                      <w:szCs w:val="24"/>
                      <w:lang w:val="sq-AL"/>
                    </w:rPr>
                  </w:pPr>
                  <w:r w:rsidRPr="001564C0">
                    <w:rPr>
                      <w:rFonts w:ascii="Times New Roman" w:eastAsia="Times New Roman" w:hAnsi="Times New Roman" w:cs="Times New Roman"/>
                      <w:color w:val="000000"/>
                      <w:sz w:val="24"/>
                      <w:szCs w:val="24"/>
                      <w:lang w:val="sq-AL"/>
                    </w:rPr>
                    <w:t xml:space="preserve">Mujore </w:t>
                  </w:r>
                  <w:r w:rsidR="0002521D" w:rsidRPr="001564C0">
                    <w:rPr>
                      <w:rFonts w:ascii="Times New Roman" w:eastAsia="Times New Roman" w:hAnsi="Times New Roman" w:cs="Times New Roman"/>
                      <w:color w:val="000000"/>
                      <w:sz w:val="24"/>
                      <w:szCs w:val="24"/>
                      <w:lang w:val="sq-AL"/>
                    </w:rPr>
                    <w:t xml:space="preserve">= </w:t>
                  </w:r>
                  <w:r w:rsidR="001564C0">
                    <w:rPr>
                      <w:rFonts w:ascii="Times New Roman" w:eastAsia="Times New Roman" w:hAnsi="Times New Roman" w:cs="Times New Roman"/>
                      <w:sz w:val="24"/>
                      <w:szCs w:val="24"/>
                      <w:lang w:val="sq-AL"/>
                    </w:rPr>
                    <w:t>Gusht</w:t>
                  </w:r>
                  <w:r w:rsidR="0002521D" w:rsidRPr="001564C0">
                    <w:rPr>
                      <w:rFonts w:ascii="Times New Roman" w:eastAsia="Times New Roman" w:hAnsi="Times New Roman" w:cs="Times New Roman"/>
                      <w:color w:val="000000"/>
                      <w:sz w:val="24"/>
                      <w:szCs w:val="24"/>
                      <w:lang w:val="sq-AL"/>
                    </w:rPr>
                    <w:t xml:space="preserve"> 20</w:t>
                  </w:r>
                  <w:r w:rsidR="00FB1E98" w:rsidRPr="001564C0">
                    <w:rPr>
                      <w:rFonts w:ascii="Times New Roman" w:eastAsia="Times New Roman" w:hAnsi="Times New Roman" w:cs="Times New Roman"/>
                      <w:color w:val="000000"/>
                      <w:sz w:val="24"/>
                      <w:szCs w:val="24"/>
                      <w:lang w:val="sq-AL"/>
                    </w:rPr>
                    <w:t>20</w:t>
                  </w:r>
                </w:p>
              </w:tc>
            </w:tr>
          </w:tbl>
          <w:p w14:paraId="57F7038F" w14:textId="77777777" w:rsidR="00343A0D" w:rsidRPr="003F7852" w:rsidRDefault="00343A0D" w:rsidP="00430D9B">
            <w:pPr>
              <w:autoSpaceDE w:val="0"/>
              <w:autoSpaceDN w:val="0"/>
              <w:adjustRightInd w:val="0"/>
              <w:spacing w:after="0"/>
              <w:rPr>
                <w:rFonts w:ascii="Times New Roman" w:hAnsi="Times New Roman" w:cs="Times New Roman"/>
                <w:noProof/>
                <w:color w:val="FF0000"/>
                <w:sz w:val="24"/>
                <w:szCs w:val="24"/>
                <w:lang w:val="sq-AL"/>
              </w:rPr>
            </w:pPr>
          </w:p>
        </w:tc>
      </w:tr>
      <w:tr w:rsidR="00343A0D" w:rsidRPr="003F7852" w14:paraId="648072BD" w14:textId="77777777" w:rsidTr="00C50933">
        <w:trPr>
          <w:trHeight w:val="562"/>
        </w:trPr>
        <w:tc>
          <w:tcPr>
            <w:tcW w:w="10682" w:type="dxa"/>
            <w:gridSpan w:val="2"/>
            <w:shd w:val="clear" w:color="auto" w:fill="FBD4B4" w:themeFill="accent6" w:themeFillTint="66"/>
            <w:noWrap/>
            <w:vAlign w:val="center"/>
            <w:hideMark/>
          </w:tcPr>
          <w:p w14:paraId="389919D3" w14:textId="77777777" w:rsidR="00343A0D" w:rsidRPr="003F7852" w:rsidRDefault="00343A0D" w:rsidP="00430D9B">
            <w:pPr>
              <w:pStyle w:val="Heading1"/>
              <w:spacing w:before="0"/>
              <w:rPr>
                <w:rFonts w:ascii="Times New Roman" w:eastAsia="Times New Roman" w:hAnsi="Times New Roman" w:cs="Times New Roman"/>
                <w:noProof/>
                <w:color w:val="000000"/>
                <w:sz w:val="24"/>
                <w:szCs w:val="24"/>
                <w:lang w:val="sq-AL" w:eastAsia="sq-AL"/>
              </w:rPr>
            </w:pPr>
            <w:bookmarkStart w:id="6" w:name="_Toc69204579"/>
            <w:r w:rsidRPr="003F7852">
              <w:rPr>
                <w:rFonts w:ascii="Times New Roman" w:eastAsia="Times New Roman" w:hAnsi="Times New Roman" w:cs="Times New Roman"/>
                <w:noProof/>
                <w:color w:val="000000"/>
                <w:sz w:val="24"/>
                <w:szCs w:val="24"/>
                <w:lang w:val="sq-AL" w:eastAsia="sq-AL"/>
              </w:rPr>
              <w:t>6</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Mandati institucional</w:t>
            </w:r>
            <w:bookmarkEnd w:id="6"/>
            <w:r w:rsidRPr="003F7852">
              <w:rPr>
                <w:rFonts w:ascii="Times New Roman" w:eastAsia="Times New Roman" w:hAnsi="Times New Roman" w:cs="Times New Roman"/>
                <w:noProof/>
                <w:color w:val="000000"/>
                <w:sz w:val="24"/>
                <w:szCs w:val="24"/>
                <w:lang w:val="sq-AL" w:eastAsia="sq-AL"/>
              </w:rPr>
              <w:t> </w:t>
            </w:r>
          </w:p>
        </w:tc>
      </w:tr>
      <w:tr w:rsidR="00E43898" w:rsidRPr="003F7852" w14:paraId="10DC488D" w14:textId="77777777" w:rsidTr="00F50383">
        <w:trPr>
          <w:trHeight w:val="1574"/>
        </w:trPr>
        <w:tc>
          <w:tcPr>
            <w:tcW w:w="2518" w:type="dxa"/>
            <w:shd w:val="clear" w:color="auto" w:fill="FFFFCC"/>
            <w:noWrap/>
            <w:vAlign w:val="center"/>
            <w:hideMark/>
          </w:tcPr>
          <w:p w14:paraId="2EBEBA9E"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6.1. Akte ligjore dhe marrëveshje të tjera</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7"/>
              <w:gridCol w:w="5961"/>
            </w:tblGrid>
            <w:tr w:rsidR="0002521D" w:rsidRPr="003F7852" w14:paraId="03502D0F" w14:textId="77777777" w:rsidTr="005E2A89">
              <w:tc>
                <w:tcPr>
                  <w:tcW w:w="1977" w:type="dxa"/>
                  <w:hideMark/>
                </w:tcPr>
                <w:p w14:paraId="6609FFD6" w14:textId="77777777" w:rsidR="0002521D" w:rsidRPr="003F7852" w:rsidRDefault="0002521D" w:rsidP="006E67C0">
                  <w:pPr>
                    <w:rPr>
                      <w:rFonts w:ascii="Times New Roman" w:hAnsi="Times New Roman" w:cs="Times New Roman"/>
                      <w:sz w:val="24"/>
                      <w:szCs w:val="24"/>
                      <w:lang w:val="sq-AL"/>
                    </w:rPr>
                  </w:pPr>
                  <w:r w:rsidRPr="003F7852">
                    <w:rPr>
                      <w:rFonts w:ascii="Times New Roman" w:hAnsi="Times New Roman" w:cs="Times New Roman"/>
                      <w:lang w:val="sq-AL"/>
                    </w:rPr>
                    <w:t>6.1.1 Niveli Europian</w:t>
                  </w:r>
                </w:p>
              </w:tc>
              <w:tc>
                <w:tcPr>
                  <w:tcW w:w="5961" w:type="dxa"/>
                  <w:hideMark/>
                </w:tcPr>
                <w:p w14:paraId="28A896AD" w14:textId="77777777" w:rsidR="0002521D" w:rsidRPr="005E2A89" w:rsidRDefault="0093021A" w:rsidP="006E67C0">
                  <w:pPr>
                    <w:spacing w:before="30"/>
                    <w:rPr>
                      <w:rStyle w:val="Hyperlink"/>
                    </w:rPr>
                  </w:pPr>
                  <w:hyperlink r:id="rId14" w:tgtFrame="_blank" w:history="1">
                    <w:r w:rsidR="0002521D" w:rsidRPr="005E2A89">
                      <w:rPr>
                        <w:rStyle w:val="Hyperlink"/>
                        <w:rFonts w:ascii="Times New Roman" w:hAnsi="Times New Roman" w:cs="Times New Roman"/>
                        <w:lang w:val="sq-AL"/>
                      </w:rPr>
                      <w:t>Regul</w:t>
                    </w:r>
                    <w:r w:rsidR="005E2A89" w:rsidRPr="005E2A89">
                      <w:rPr>
                        <w:rStyle w:val="Hyperlink"/>
                        <w:rFonts w:ascii="Times New Roman" w:hAnsi="Times New Roman" w:cs="Times New Roman"/>
                        <w:lang w:val="sq-AL"/>
                      </w:rPr>
                      <w:t>lore</w:t>
                    </w:r>
                    <w:r w:rsidR="0002521D" w:rsidRPr="005E2A89">
                      <w:rPr>
                        <w:rStyle w:val="Hyperlink"/>
                        <w:rFonts w:ascii="Times New Roman" w:hAnsi="Times New Roman" w:cs="Times New Roman"/>
                        <w:lang w:val="sq-AL"/>
                      </w:rPr>
                      <w:t xml:space="preserve"> 692/2011</w:t>
                    </w:r>
                  </w:hyperlink>
                </w:p>
                <w:p w14:paraId="66A92DD5" w14:textId="77777777" w:rsidR="0002521D" w:rsidRPr="003F7852" w:rsidRDefault="0093021A" w:rsidP="005E2A89">
                  <w:pPr>
                    <w:spacing w:before="30"/>
                    <w:rPr>
                      <w:rFonts w:ascii="Times New Roman" w:hAnsi="Times New Roman" w:cs="Times New Roman"/>
                      <w:sz w:val="24"/>
                      <w:szCs w:val="24"/>
                      <w:lang w:val="sq-AL"/>
                    </w:rPr>
                  </w:pPr>
                  <w:hyperlink r:id="rId15" w:tgtFrame="_blank" w:history="1">
                    <w:r w:rsidR="0002521D" w:rsidRPr="005E2A89">
                      <w:rPr>
                        <w:rStyle w:val="Hyperlink"/>
                        <w:rFonts w:ascii="Times New Roman" w:hAnsi="Times New Roman" w:cs="Times New Roman"/>
                        <w:lang w:val="sq-AL"/>
                      </w:rPr>
                      <w:t>Regul</w:t>
                    </w:r>
                    <w:r w:rsidR="005E2A89" w:rsidRPr="005E2A89">
                      <w:rPr>
                        <w:rStyle w:val="Hyperlink"/>
                        <w:rFonts w:ascii="Times New Roman" w:hAnsi="Times New Roman" w:cs="Times New Roman"/>
                        <w:lang w:val="sq-AL"/>
                      </w:rPr>
                      <w:t>lore</w:t>
                    </w:r>
                    <w:r w:rsidR="0002521D" w:rsidRPr="005E2A89">
                      <w:rPr>
                        <w:rStyle w:val="Hyperlink"/>
                        <w:rFonts w:ascii="Times New Roman" w:hAnsi="Times New Roman" w:cs="Times New Roman"/>
                        <w:lang w:val="sq-AL"/>
                      </w:rPr>
                      <w:t xml:space="preserve"> 1051/2011</w:t>
                    </w:r>
                  </w:hyperlink>
                </w:p>
              </w:tc>
            </w:tr>
            <w:tr w:rsidR="0002521D" w:rsidRPr="003F7852" w14:paraId="57BE8DC6" w14:textId="77777777" w:rsidTr="005E2A89">
              <w:tc>
                <w:tcPr>
                  <w:tcW w:w="1977" w:type="dxa"/>
                  <w:hideMark/>
                </w:tcPr>
                <w:p w14:paraId="35DD4269" w14:textId="77777777" w:rsidR="0002521D" w:rsidRPr="003F7852" w:rsidRDefault="0002521D" w:rsidP="006E67C0">
                  <w:pPr>
                    <w:rPr>
                      <w:rFonts w:ascii="Times New Roman" w:hAnsi="Times New Roman" w:cs="Times New Roman"/>
                      <w:sz w:val="24"/>
                      <w:szCs w:val="24"/>
                      <w:lang w:val="sq-AL"/>
                    </w:rPr>
                  </w:pPr>
                  <w:r w:rsidRPr="003F7852">
                    <w:rPr>
                      <w:rFonts w:ascii="Times New Roman" w:hAnsi="Times New Roman" w:cs="Times New Roman"/>
                      <w:lang w:val="sq-AL"/>
                    </w:rPr>
                    <w:t>6.1.2 Niveli Kombëtar</w:t>
                  </w:r>
                </w:p>
              </w:tc>
              <w:tc>
                <w:tcPr>
                  <w:tcW w:w="5961" w:type="dxa"/>
                  <w:hideMark/>
                </w:tcPr>
                <w:p w14:paraId="04498533" w14:textId="77777777" w:rsidR="0003469E" w:rsidRPr="003F7852" w:rsidRDefault="0093021A" w:rsidP="006E67C0">
                  <w:pPr>
                    <w:rPr>
                      <w:rFonts w:ascii="Times New Roman" w:hAnsi="Times New Roman" w:cs="Times New Roman"/>
                      <w:lang w:val="sq-AL"/>
                    </w:rPr>
                  </w:pPr>
                  <w:hyperlink r:id="rId16" w:history="1">
                    <w:r w:rsidR="0002521D" w:rsidRPr="003F7852">
                      <w:rPr>
                        <w:rStyle w:val="Hyperlink"/>
                        <w:rFonts w:ascii="Times New Roman" w:hAnsi="Times New Roman" w:cs="Times New Roman"/>
                        <w:lang w:val="sq-AL"/>
                      </w:rPr>
                      <w:t>Ligji Nr.17/2018 “Për Statistikat Zyrtare” </w:t>
                    </w:r>
                  </w:hyperlink>
                </w:p>
                <w:p w14:paraId="1387B1D9" w14:textId="77777777" w:rsidR="0002521D" w:rsidRPr="003F7852" w:rsidRDefault="0093021A" w:rsidP="006E67C0">
                  <w:pPr>
                    <w:rPr>
                      <w:rFonts w:ascii="Times New Roman" w:hAnsi="Times New Roman" w:cs="Times New Roman"/>
                      <w:lang w:val="sq-AL"/>
                    </w:rPr>
                  </w:pPr>
                  <w:hyperlink r:id="rId17" w:history="1">
                    <w:r w:rsidR="0002521D" w:rsidRPr="003F7852">
                      <w:rPr>
                        <w:rStyle w:val="Hyperlink"/>
                        <w:rFonts w:ascii="Times New Roman" w:hAnsi="Times New Roman" w:cs="Times New Roman"/>
                        <w:lang w:val="sq-AL"/>
                      </w:rPr>
                      <w:t>Programi Kombëtar i Statistikave Zyrtare, 2017-2021 </w:t>
                    </w:r>
                  </w:hyperlink>
                  <w:r w:rsidR="0003469E" w:rsidRPr="003F7852">
                    <w:rPr>
                      <w:rFonts w:ascii="Times New Roman" w:hAnsi="Times New Roman" w:cs="Times New Roman"/>
                      <w:sz w:val="24"/>
                      <w:szCs w:val="24"/>
                      <w:lang w:val="sq-AL"/>
                    </w:rPr>
                    <w:t xml:space="preserve"> </w:t>
                  </w:r>
                </w:p>
              </w:tc>
            </w:tr>
          </w:tbl>
          <w:p w14:paraId="4451CAC2"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p>
        </w:tc>
      </w:tr>
      <w:tr w:rsidR="00B15F7B" w:rsidRPr="003F7852" w14:paraId="2278EB92" w14:textId="77777777" w:rsidTr="00C50933">
        <w:trPr>
          <w:trHeight w:val="562"/>
        </w:trPr>
        <w:tc>
          <w:tcPr>
            <w:tcW w:w="2518" w:type="dxa"/>
            <w:shd w:val="clear" w:color="auto" w:fill="FFFFCC"/>
            <w:noWrap/>
            <w:vAlign w:val="center"/>
            <w:hideMark/>
          </w:tcPr>
          <w:p w14:paraId="6DD7F50E" w14:textId="77777777" w:rsidR="00EA5F3D" w:rsidRPr="003F7852" w:rsidRDefault="00EA5F3D"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6.2. Shkëmbimi i të dhënave</w:t>
            </w:r>
          </w:p>
        </w:tc>
        <w:tc>
          <w:tcPr>
            <w:tcW w:w="8164" w:type="dxa"/>
            <w:shd w:val="clear" w:color="auto" w:fill="auto"/>
            <w:noWrap/>
            <w:vAlign w:val="center"/>
            <w:hideMark/>
          </w:tcPr>
          <w:p w14:paraId="10E0FDE5" w14:textId="2940DD0C" w:rsidR="00EA5F3D" w:rsidRPr="003F7852" w:rsidRDefault="0003469E" w:rsidP="00013A07">
            <w:pPr>
              <w:spacing w:before="240"/>
              <w:jc w:val="both"/>
              <w:rPr>
                <w:rFonts w:ascii="Times New Roman" w:eastAsia="Times New Roman" w:hAnsi="Times New Roman" w:cs="Times New Roman"/>
                <w:noProof/>
                <w:color w:val="000000"/>
                <w:sz w:val="24"/>
                <w:szCs w:val="24"/>
                <w:lang w:val="sq-AL" w:eastAsia="sq-AL"/>
              </w:rPr>
            </w:pPr>
            <w:r w:rsidRPr="009C647C">
              <w:rPr>
                <w:rFonts w:ascii="Times New Roman" w:eastAsia="Times New Roman" w:hAnsi="Times New Roman" w:cs="Times New Roman"/>
                <w:noProof/>
                <w:color w:val="000000"/>
                <w:sz w:val="24"/>
                <w:szCs w:val="24"/>
                <w:lang w:val="sq-AL" w:eastAsia="sq-AL"/>
              </w:rPr>
              <w:t>Seria kohore e t</w:t>
            </w:r>
            <w:r w:rsidR="00FB1E98" w:rsidRPr="009C647C">
              <w:rPr>
                <w:rFonts w:ascii="Times New Roman" w:eastAsia="Times New Roman" w:hAnsi="Times New Roman" w:cs="Times New Roman"/>
                <w:noProof/>
                <w:color w:val="000000"/>
                <w:sz w:val="24"/>
                <w:szCs w:val="24"/>
                <w:lang w:val="sq-AL" w:eastAsia="sq-AL"/>
              </w:rPr>
              <w:t>ë</w:t>
            </w:r>
            <w:r w:rsidRPr="009C647C">
              <w:rPr>
                <w:rFonts w:ascii="Times New Roman" w:eastAsia="Times New Roman" w:hAnsi="Times New Roman" w:cs="Times New Roman"/>
                <w:noProof/>
                <w:color w:val="000000"/>
                <w:sz w:val="24"/>
                <w:szCs w:val="24"/>
                <w:lang w:val="sq-AL" w:eastAsia="sq-AL"/>
              </w:rPr>
              <w:t xml:space="preserve"> dhënave mujore </w:t>
            </w:r>
            <w:r w:rsidR="00FB1E98" w:rsidRPr="009C647C">
              <w:rPr>
                <w:rFonts w:ascii="Times New Roman" w:eastAsia="Times New Roman" w:hAnsi="Times New Roman" w:cs="Times New Roman"/>
                <w:noProof/>
                <w:color w:val="000000"/>
                <w:sz w:val="24"/>
                <w:szCs w:val="24"/>
                <w:lang w:val="sq-AL" w:eastAsia="sq-AL"/>
              </w:rPr>
              <w:t xml:space="preserve">ka filluar të dërgohet </w:t>
            </w:r>
            <w:r w:rsidR="00013A07" w:rsidRPr="009C647C">
              <w:rPr>
                <w:rFonts w:ascii="Times New Roman" w:eastAsia="Times New Roman" w:hAnsi="Times New Roman" w:cs="Times New Roman"/>
                <w:noProof/>
                <w:color w:val="000000"/>
                <w:sz w:val="24"/>
                <w:szCs w:val="24"/>
                <w:lang w:val="sq-AL" w:eastAsia="sq-AL"/>
              </w:rPr>
              <w:t xml:space="preserve">në EUROSTAT </w:t>
            </w:r>
            <w:r w:rsidR="00FB1E98" w:rsidRPr="009C647C">
              <w:rPr>
                <w:rFonts w:ascii="Times New Roman" w:eastAsia="Times New Roman" w:hAnsi="Times New Roman" w:cs="Times New Roman"/>
                <w:noProof/>
                <w:color w:val="000000"/>
                <w:sz w:val="24"/>
                <w:szCs w:val="24"/>
                <w:lang w:val="sq-AL" w:eastAsia="sq-AL"/>
              </w:rPr>
              <w:t xml:space="preserve">në Shtator 2020, </w:t>
            </w:r>
            <w:r w:rsidR="00013A07" w:rsidRPr="009C647C">
              <w:rPr>
                <w:rFonts w:ascii="Times New Roman" w:eastAsia="Times New Roman" w:hAnsi="Times New Roman" w:cs="Times New Roman"/>
                <w:noProof/>
                <w:color w:val="000000"/>
                <w:sz w:val="24"/>
                <w:szCs w:val="24"/>
                <w:lang w:val="sq-AL" w:eastAsia="sq-AL"/>
              </w:rPr>
              <w:t>me</w:t>
            </w:r>
            <w:r w:rsidR="00FB1E98" w:rsidRPr="009C647C">
              <w:rPr>
                <w:rFonts w:ascii="Times New Roman" w:eastAsia="Times New Roman" w:hAnsi="Times New Roman" w:cs="Times New Roman"/>
                <w:noProof/>
                <w:color w:val="000000"/>
                <w:sz w:val="24"/>
                <w:szCs w:val="24"/>
                <w:lang w:val="sq-AL" w:eastAsia="sq-AL"/>
              </w:rPr>
              <w:t xml:space="preserve"> periudhë</w:t>
            </w:r>
            <w:r w:rsidR="00013A07" w:rsidRPr="009C647C">
              <w:rPr>
                <w:rFonts w:ascii="Times New Roman" w:eastAsia="Times New Roman" w:hAnsi="Times New Roman" w:cs="Times New Roman"/>
                <w:noProof/>
                <w:color w:val="000000"/>
                <w:sz w:val="24"/>
                <w:szCs w:val="24"/>
                <w:lang w:val="sq-AL" w:eastAsia="sq-AL"/>
              </w:rPr>
              <w:t xml:space="preserve"> referuese</w:t>
            </w:r>
            <w:r w:rsidR="00FB1E98" w:rsidRPr="009C647C">
              <w:rPr>
                <w:rFonts w:ascii="Times New Roman" w:eastAsia="Times New Roman" w:hAnsi="Times New Roman" w:cs="Times New Roman"/>
                <w:noProof/>
                <w:color w:val="000000"/>
                <w:sz w:val="24"/>
                <w:szCs w:val="24"/>
                <w:lang w:val="sq-AL" w:eastAsia="sq-AL"/>
              </w:rPr>
              <w:t xml:space="preserve"> </w:t>
            </w:r>
            <w:r w:rsidRPr="009C647C">
              <w:rPr>
                <w:rFonts w:ascii="Times New Roman" w:eastAsia="Times New Roman" w:hAnsi="Times New Roman" w:cs="Times New Roman"/>
                <w:noProof/>
                <w:color w:val="000000"/>
                <w:sz w:val="24"/>
                <w:szCs w:val="24"/>
                <w:lang w:val="sq-AL" w:eastAsia="sq-AL"/>
              </w:rPr>
              <w:t xml:space="preserve">nga Janar 2018 </w:t>
            </w:r>
            <w:r w:rsidR="00013A07" w:rsidRPr="009C647C">
              <w:rPr>
                <w:rFonts w:ascii="Times New Roman" w:eastAsia="Times New Roman" w:hAnsi="Times New Roman" w:cs="Times New Roman"/>
                <w:noProof/>
                <w:color w:val="000000"/>
                <w:sz w:val="24"/>
                <w:szCs w:val="24"/>
                <w:lang w:val="sq-AL" w:eastAsia="sq-AL"/>
              </w:rPr>
              <w:t>e në vazhdim për indikatorët kryesorë.</w:t>
            </w:r>
          </w:p>
        </w:tc>
      </w:tr>
      <w:tr w:rsidR="00EA5F3D" w:rsidRPr="003F7852" w14:paraId="481FD232" w14:textId="77777777" w:rsidTr="00C50933">
        <w:trPr>
          <w:trHeight w:val="562"/>
        </w:trPr>
        <w:tc>
          <w:tcPr>
            <w:tcW w:w="10682" w:type="dxa"/>
            <w:gridSpan w:val="2"/>
            <w:shd w:val="clear" w:color="auto" w:fill="FBD4B4" w:themeFill="accent6" w:themeFillTint="66"/>
            <w:noWrap/>
            <w:vAlign w:val="center"/>
            <w:hideMark/>
          </w:tcPr>
          <w:p w14:paraId="13F20E6B" w14:textId="77777777" w:rsidR="00EA5F3D" w:rsidRPr="003F7852" w:rsidRDefault="00EA5F3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9204580"/>
            <w:r w:rsidRPr="003F7852">
              <w:rPr>
                <w:rFonts w:ascii="Times New Roman" w:eastAsia="Times New Roman" w:hAnsi="Times New Roman" w:cs="Times New Roman"/>
                <w:noProof/>
                <w:color w:val="000000"/>
                <w:sz w:val="24"/>
                <w:szCs w:val="24"/>
                <w:lang w:val="sq-AL" w:eastAsia="sq-AL"/>
              </w:rPr>
              <w:t>7</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Konfidencialiteti</w:t>
            </w:r>
            <w:bookmarkEnd w:id="7"/>
          </w:p>
        </w:tc>
      </w:tr>
      <w:tr w:rsidR="00E43898" w:rsidRPr="003F7852" w14:paraId="1FE43EEF" w14:textId="77777777" w:rsidTr="00C50933">
        <w:trPr>
          <w:trHeight w:val="562"/>
        </w:trPr>
        <w:tc>
          <w:tcPr>
            <w:tcW w:w="2518" w:type="dxa"/>
            <w:shd w:val="clear" w:color="auto" w:fill="FFFFCC"/>
            <w:noWrap/>
            <w:vAlign w:val="center"/>
            <w:hideMark/>
          </w:tcPr>
          <w:p w14:paraId="07CFB244"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7.1. Konfidencialiteti - politika </w:t>
            </w:r>
          </w:p>
        </w:tc>
        <w:tc>
          <w:tcPr>
            <w:tcW w:w="8164" w:type="dxa"/>
            <w:shd w:val="clear" w:color="auto" w:fill="auto"/>
            <w:vAlign w:val="center"/>
          </w:tcPr>
          <w:p w14:paraId="45F695F9" w14:textId="77777777" w:rsidR="00E43898" w:rsidRPr="003F7852" w:rsidRDefault="0015382A"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e mbledhura nga ndërmarrjet konsiderohen si rreptësisht konfidenciale dhe përdoren vetëm për qëllime statistikore e kërkime shkencore në përputhje me Ligj Nr. 17/2018 PËR STATISTIKAT ZYRTARE ,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p>
        </w:tc>
      </w:tr>
      <w:tr w:rsidR="00E43898" w:rsidRPr="003F7852" w14:paraId="23DAC17B" w14:textId="77777777" w:rsidTr="00C50933">
        <w:trPr>
          <w:trHeight w:val="562"/>
        </w:trPr>
        <w:tc>
          <w:tcPr>
            <w:tcW w:w="2518" w:type="dxa"/>
            <w:shd w:val="clear" w:color="auto" w:fill="FFFFCC"/>
            <w:noWrap/>
            <w:vAlign w:val="center"/>
            <w:hideMark/>
          </w:tcPr>
          <w:p w14:paraId="124F29A0"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7.2. Konfidencialiteti - trajtimi i të dhënave</w:t>
            </w:r>
          </w:p>
        </w:tc>
        <w:tc>
          <w:tcPr>
            <w:tcW w:w="8164" w:type="dxa"/>
            <w:shd w:val="clear" w:color="auto" w:fill="auto"/>
            <w:vAlign w:val="center"/>
          </w:tcPr>
          <w:p w14:paraId="01FC8797" w14:textId="77777777" w:rsidR="0015382A" w:rsidRPr="003F7852" w:rsidRDefault="0015382A" w:rsidP="00E3168F">
            <w:pPr>
              <w:spacing w:before="240" w:after="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INSTAT mbron dhe nuk shpërndan të dhënat që ka mbledhur ose që ka akses, të cilat mundësojnë identifikimin e drejtpërdrejtë ose të tërthortë të njësive statistikore. INSTAT ndërmerr të gjitha masat e duhura për të parandaluar dhe bërë të pamundur identifikimin e njësive statistikore përmes mjeteve teknike të tjera që mund të përdoren nga palët e treta. Të dhënat statistikore që mund të bëjnë të mundur identifikimin e njësisë statistikore, shpërndahen nga INSTAT vetëm në rast se: </w:t>
            </w:r>
          </w:p>
          <w:p w14:paraId="4FEA62A1" w14:textId="77777777" w:rsidR="0015382A" w:rsidRPr="003F7852" w:rsidRDefault="0015382A" w:rsidP="000C62D2">
            <w:pPr>
              <w:spacing w:before="240" w:after="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 xml:space="preserve">a) Këto të dhëna janë trajtuar, siç është përcaktuar në mënyrë të veçantë në Rregullore, këto të dhëna janë trajtuar në mënyrë të atillë, sa nuk krijon paragjykim në lidhje me konfidencialitetin statistikor; ose </w:t>
            </w:r>
          </w:p>
          <w:p w14:paraId="6DD68BDC" w14:textId="77777777" w:rsidR="0015382A" w:rsidRPr="003F7852" w:rsidRDefault="0015382A" w:rsidP="00851C1F">
            <w:pPr>
              <w:spacing w:after="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b) Njësia statistikore ka dhënë miratimin  përkatës për bërjen publike të të dhënave; </w:t>
            </w:r>
          </w:p>
          <w:p w14:paraId="5AC071CE" w14:textId="77777777" w:rsidR="00E43898" w:rsidRPr="003F7852" w:rsidRDefault="0015382A" w:rsidP="000C62D2">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konfidenciale i përcillen INSTAT-it vetëm për qëllime statistikore dhe vetëm personat që kanë të drejtë aksesi tek to, mund të punojnë me to. Çështjet dhe problemet në lidhje me ruajtjen e konfidencialitetit statistikor verifikohen dhe trajtohen nga stafi i INSTAT.</w:t>
            </w:r>
          </w:p>
        </w:tc>
      </w:tr>
      <w:tr w:rsidR="00384D79" w:rsidRPr="003F7852" w14:paraId="3E3650D4" w14:textId="77777777" w:rsidTr="00C50933">
        <w:trPr>
          <w:trHeight w:val="562"/>
        </w:trPr>
        <w:tc>
          <w:tcPr>
            <w:tcW w:w="10682" w:type="dxa"/>
            <w:gridSpan w:val="2"/>
            <w:shd w:val="clear" w:color="auto" w:fill="FBD4B4" w:themeFill="accent6" w:themeFillTint="66"/>
            <w:noWrap/>
            <w:vAlign w:val="center"/>
            <w:hideMark/>
          </w:tcPr>
          <w:p w14:paraId="1A3D56C4" w14:textId="77777777" w:rsidR="00384D79" w:rsidRPr="003F7852" w:rsidRDefault="00384D79"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69204581"/>
            <w:r w:rsidRPr="003F7852">
              <w:rPr>
                <w:rFonts w:ascii="Times New Roman" w:eastAsia="Times New Roman" w:hAnsi="Times New Roman" w:cs="Times New Roman"/>
                <w:noProof/>
                <w:color w:val="000000"/>
                <w:sz w:val="24"/>
                <w:szCs w:val="24"/>
                <w:lang w:val="sq-AL" w:eastAsia="sq-AL"/>
              </w:rPr>
              <w:lastRenderedPageBreak/>
              <w:t>8</w:t>
            </w:r>
            <w:r w:rsidRPr="003F7852">
              <w:rPr>
                <w:rFonts w:ascii="Times New Roman" w:eastAsia="Times New Roman" w:hAnsi="Times New Roman" w:cs="Times New Roman"/>
                <w:b w:val="0"/>
                <w:bCs w:val="0"/>
                <w:noProof/>
                <w:color w:val="000000"/>
                <w:sz w:val="24"/>
                <w:szCs w:val="24"/>
                <w:lang w:val="sq-AL" w:eastAsia="sq-AL"/>
              </w:rPr>
              <w:t>.</w:t>
            </w:r>
            <w:r w:rsidRPr="003F7852">
              <w:rPr>
                <w:rFonts w:ascii="Times New Roman" w:eastAsia="Times New Roman" w:hAnsi="Times New Roman" w:cs="Times New Roman"/>
                <w:noProof/>
                <w:color w:val="000000" w:themeColor="text1"/>
                <w:sz w:val="24"/>
                <w:szCs w:val="24"/>
                <w:lang w:val="sq-AL" w:eastAsia="sq-AL"/>
              </w:rPr>
              <w:t xml:space="preserve"> Politika e botimit</w:t>
            </w:r>
            <w:bookmarkEnd w:id="8"/>
          </w:p>
        </w:tc>
      </w:tr>
      <w:tr w:rsidR="00E43898" w:rsidRPr="003F7852" w14:paraId="2A475F68" w14:textId="77777777" w:rsidTr="00C50933">
        <w:trPr>
          <w:trHeight w:val="562"/>
        </w:trPr>
        <w:tc>
          <w:tcPr>
            <w:tcW w:w="2518" w:type="dxa"/>
            <w:shd w:val="clear" w:color="auto" w:fill="FFFFCC"/>
            <w:noWrap/>
            <w:vAlign w:val="center"/>
            <w:hideMark/>
          </w:tcPr>
          <w:p w14:paraId="44C7B4A0"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8.1. Kalendari i publikimeve</w:t>
            </w:r>
          </w:p>
        </w:tc>
        <w:tc>
          <w:tcPr>
            <w:tcW w:w="8164" w:type="dxa"/>
            <w:shd w:val="clear" w:color="auto" w:fill="auto"/>
            <w:vAlign w:val="center"/>
          </w:tcPr>
          <w:p w14:paraId="3C692F46" w14:textId="77777777" w:rsidR="00E43898" w:rsidRPr="003F7852" w:rsidRDefault="0015382A" w:rsidP="00851C1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Njoftimet në lidhje me shpërndarjen e statistikave janë botuar në kalendarin e publikimit, i cili është në dispozicion në faqen e internetit. </w:t>
            </w:r>
            <w:r w:rsidRPr="003F7852">
              <w:rPr>
                <w:rFonts w:ascii="Times New Roman" w:hAnsi="Times New Roman" w:cs="Times New Roman"/>
                <w:sz w:val="24"/>
                <w:szCs w:val="24"/>
                <w:lang w:val="sq-AL"/>
              </w:rPr>
              <w:t>Njoftime</w:t>
            </w:r>
            <w:r w:rsidR="00851C1F" w:rsidRPr="003F7852">
              <w:rPr>
                <w:rFonts w:ascii="Times New Roman" w:hAnsi="Times New Roman" w:cs="Times New Roman"/>
                <w:sz w:val="24"/>
                <w:szCs w:val="24"/>
                <w:lang w:val="sq-AL"/>
              </w:rPr>
              <w:t>t</w:t>
            </w:r>
            <w:r w:rsidRPr="003F7852">
              <w:rPr>
                <w:rFonts w:ascii="Times New Roman" w:hAnsi="Times New Roman" w:cs="Times New Roman"/>
                <w:sz w:val="24"/>
                <w:szCs w:val="24"/>
                <w:lang w:val="sq-AL"/>
              </w:rPr>
              <w:t xml:space="preserve"> dhe vonesat janë para-njoftuar në këtë kalendar. Në rastin e vonesave specifikohet data e publikimit të ardhshëm si dhe shpjegimi lidhur me arsyet e vonesave.</w:t>
            </w:r>
          </w:p>
        </w:tc>
      </w:tr>
      <w:tr w:rsidR="00E43898" w:rsidRPr="003F7852" w14:paraId="693DC98B" w14:textId="77777777" w:rsidTr="00C50933">
        <w:trPr>
          <w:trHeight w:val="562"/>
        </w:trPr>
        <w:tc>
          <w:tcPr>
            <w:tcW w:w="2518" w:type="dxa"/>
            <w:shd w:val="clear" w:color="auto" w:fill="FFFFCC"/>
            <w:noWrap/>
            <w:vAlign w:val="center"/>
            <w:hideMark/>
          </w:tcPr>
          <w:p w14:paraId="0F23DD7E"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8.2. Aksesi në kalendarin e publikimeve</w:t>
            </w:r>
          </w:p>
        </w:tc>
        <w:tc>
          <w:tcPr>
            <w:tcW w:w="8164" w:type="dxa"/>
            <w:shd w:val="clear" w:color="auto" w:fill="auto"/>
            <w:vAlign w:val="center"/>
          </w:tcPr>
          <w:p w14:paraId="6DF4F3E7" w14:textId="77777777" w:rsidR="00E43898" w:rsidRPr="003F7852" w:rsidRDefault="0093021A" w:rsidP="00430D9B">
            <w:pPr>
              <w:spacing w:after="0"/>
              <w:rPr>
                <w:rFonts w:ascii="Times New Roman" w:eastAsia="Times New Roman" w:hAnsi="Times New Roman" w:cs="Times New Roman"/>
                <w:noProof/>
                <w:color w:val="000000"/>
                <w:sz w:val="24"/>
                <w:szCs w:val="24"/>
                <w:lang w:val="sq-AL" w:eastAsia="sq-AL"/>
              </w:rPr>
            </w:pPr>
            <w:hyperlink r:id="rId18" w:history="1">
              <w:r w:rsidR="0015382A" w:rsidRPr="003F7852">
                <w:rPr>
                  <w:rStyle w:val="Hyperlink"/>
                  <w:rFonts w:ascii="Times New Roman" w:hAnsi="Times New Roman" w:cs="Times New Roman"/>
                  <w:sz w:val="24"/>
                  <w:szCs w:val="24"/>
                  <w:lang w:val="sq-AL"/>
                </w:rPr>
                <w:t>Kalendari i Publikimeve</w:t>
              </w:r>
            </w:hyperlink>
            <w:r w:rsidR="0015382A" w:rsidRPr="003F7852">
              <w:rPr>
                <w:rFonts w:ascii="Times New Roman" w:hAnsi="Times New Roman" w:cs="Times New Roman"/>
                <w:sz w:val="24"/>
                <w:szCs w:val="24"/>
                <w:lang w:val="sq-AL"/>
              </w:rPr>
              <w:t xml:space="preserve"> është në dispozicion në faqen e internetit të INSTAT.</w:t>
            </w:r>
          </w:p>
        </w:tc>
      </w:tr>
      <w:tr w:rsidR="00E43898" w:rsidRPr="003F7852" w14:paraId="2548E4A7" w14:textId="77777777" w:rsidTr="00C50933">
        <w:trPr>
          <w:trHeight w:val="562"/>
        </w:trPr>
        <w:tc>
          <w:tcPr>
            <w:tcW w:w="2518" w:type="dxa"/>
            <w:shd w:val="clear" w:color="auto" w:fill="FFFFCC"/>
            <w:noWrap/>
            <w:vAlign w:val="center"/>
            <w:hideMark/>
          </w:tcPr>
          <w:p w14:paraId="0269D79B"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8.3. Aksesi i përdoruesve</w:t>
            </w:r>
          </w:p>
        </w:tc>
        <w:tc>
          <w:tcPr>
            <w:tcW w:w="8164" w:type="dxa"/>
            <w:shd w:val="clear" w:color="auto" w:fill="auto"/>
            <w:vAlign w:val="center"/>
          </w:tcPr>
          <w:p w14:paraId="3180FD52" w14:textId="77777777" w:rsidR="009B3267" w:rsidRPr="003F7852" w:rsidRDefault="009B3267" w:rsidP="009B326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Në përputhje me nenin 34 të Ligji Nr. 17/2018 për Statistikat Zyrtare, statistikat zyrtare shpërndahen në mënyrë që të gjithë përdoruesit të kenë të drejtë të menjëhershme dhe të barabartë, përdoren të gjitha format e mundshme të medias, INSTAT-i dhe agjencitë, duke pasur në program përgjegjësitë për shpërndarjen, kërkojnë të përmbushin çdo kërkesë të çdo organizate ose individi, për të dhëna të pabotuara ose analiza të veçanta. Kanalet nga të cilat përdoruesit mund të marrin rezultatet e publikimit janë si më poshtë: </w:t>
            </w:r>
          </w:p>
          <w:p w14:paraId="3C830C7B" w14:textId="77777777" w:rsidR="009B3267" w:rsidRPr="003F7852" w:rsidRDefault="009B3267" w:rsidP="009B3267">
            <w:pPr>
              <w:pStyle w:val="ListParagraph"/>
              <w:numPr>
                <w:ilvl w:val="0"/>
                <w:numId w:val="31"/>
              </w:numPr>
              <w:spacing w:before="240" w:after="240"/>
              <w:ind w:right="85"/>
              <w:jc w:val="both"/>
              <w:rPr>
                <w:noProof/>
                <w:color w:val="000000"/>
                <w:lang w:val="sq-AL" w:eastAsia="sq-AL"/>
              </w:rPr>
            </w:pPr>
            <w:r w:rsidRPr="003F7852">
              <w:rPr>
                <w:noProof/>
                <w:color w:val="000000"/>
                <w:lang w:val="sq-AL" w:eastAsia="sq-AL"/>
              </w:rPr>
              <w:t xml:space="preserve">Website – </w:t>
            </w:r>
            <w:hyperlink r:id="rId19" w:history="1">
              <w:r w:rsidRPr="002B113C">
                <w:rPr>
                  <w:rStyle w:val="Hyperlink"/>
                  <w:noProof/>
                  <w:lang w:val="sq-AL" w:eastAsia="sq-AL"/>
                </w:rPr>
                <w:t>online release</w:t>
              </w:r>
            </w:hyperlink>
            <w:r w:rsidRPr="003F7852">
              <w:rPr>
                <w:noProof/>
                <w:color w:val="000000"/>
                <w:lang w:val="sq-AL" w:eastAsia="sq-AL"/>
              </w:rPr>
              <w:t xml:space="preserve">; </w:t>
            </w:r>
          </w:p>
          <w:p w14:paraId="0A82A56D" w14:textId="77777777" w:rsidR="009B3267" w:rsidRPr="003F7852" w:rsidRDefault="009B3267" w:rsidP="009B3267">
            <w:pPr>
              <w:pStyle w:val="ListParagraph"/>
              <w:numPr>
                <w:ilvl w:val="0"/>
                <w:numId w:val="31"/>
              </w:numPr>
              <w:spacing w:before="240" w:after="240"/>
              <w:ind w:right="85"/>
              <w:jc w:val="both"/>
              <w:rPr>
                <w:noProof/>
                <w:color w:val="000000"/>
                <w:lang w:val="sq-AL" w:eastAsia="sq-AL"/>
              </w:rPr>
            </w:pPr>
            <w:r w:rsidRPr="003F7852">
              <w:rPr>
                <w:noProof/>
                <w:color w:val="000000"/>
                <w:lang w:val="sq-AL" w:eastAsia="sq-AL"/>
              </w:rPr>
              <w:t xml:space="preserve">Kërkesat e shkruara; </w:t>
            </w:r>
          </w:p>
          <w:p w14:paraId="5110F8CD" w14:textId="77777777" w:rsidR="009B3267" w:rsidRPr="003F7852" w:rsidRDefault="009B3267" w:rsidP="009B3267">
            <w:pPr>
              <w:pStyle w:val="ListParagraph"/>
              <w:numPr>
                <w:ilvl w:val="0"/>
                <w:numId w:val="31"/>
              </w:numPr>
              <w:spacing w:before="240" w:after="240"/>
              <w:ind w:right="85"/>
              <w:jc w:val="both"/>
              <w:rPr>
                <w:noProof/>
                <w:color w:val="000000"/>
                <w:lang w:val="sq-AL" w:eastAsia="sq-AL"/>
              </w:rPr>
            </w:pPr>
            <w:r w:rsidRPr="003F7852">
              <w:rPr>
                <w:noProof/>
                <w:color w:val="000000"/>
                <w:lang w:val="sq-AL" w:eastAsia="sq-AL"/>
              </w:rPr>
              <w:t xml:space="preserve">Publikimi; </w:t>
            </w:r>
          </w:p>
          <w:p w14:paraId="13259EC7" w14:textId="77777777" w:rsidR="00E43898" w:rsidRPr="003F7852" w:rsidRDefault="0093021A" w:rsidP="009B3267">
            <w:pPr>
              <w:pStyle w:val="ListParagraph"/>
              <w:numPr>
                <w:ilvl w:val="0"/>
                <w:numId w:val="31"/>
              </w:numPr>
              <w:spacing w:before="240" w:after="240"/>
              <w:ind w:right="85"/>
              <w:jc w:val="both"/>
              <w:rPr>
                <w:noProof/>
                <w:color w:val="000000"/>
                <w:lang w:val="sq-AL" w:eastAsia="sq-AL"/>
              </w:rPr>
            </w:pPr>
            <w:hyperlink r:id="rId20" w:history="1">
              <w:r w:rsidR="009B3267" w:rsidRPr="003F7852">
                <w:rPr>
                  <w:rStyle w:val="Hyperlink"/>
                  <w:noProof/>
                  <w:lang w:val="sq-AL" w:eastAsia="sq-AL"/>
                </w:rPr>
                <w:t>Kërkesa për të dhëna</w:t>
              </w:r>
            </w:hyperlink>
            <w:r w:rsidR="009B3267" w:rsidRPr="003F7852">
              <w:rPr>
                <w:noProof/>
                <w:color w:val="000000"/>
                <w:lang w:val="sq-AL" w:eastAsia="sq-AL"/>
              </w:rPr>
              <w:t>, seksioni për përdoruesit e jashtëm.</w:t>
            </w:r>
          </w:p>
        </w:tc>
      </w:tr>
      <w:tr w:rsidR="00B15F7B" w:rsidRPr="003F7852" w14:paraId="5ED8FB55" w14:textId="77777777" w:rsidTr="00C50933">
        <w:trPr>
          <w:trHeight w:val="567"/>
        </w:trPr>
        <w:tc>
          <w:tcPr>
            <w:tcW w:w="2518" w:type="dxa"/>
            <w:shd w:val="clear" w:color="auto" w:fill="FBD4B4" w:themeFill="accent6" w:themeFillTint="66"/>
            <w:noWrap/>
            <w:vAlign w:val="center"/>
            <w:hideMark/>
          </w:tcPr>
          <w:p w14:paraId="7878A285" w14:textId="77777777" w:rsidR="007B1894" w:rsidRPr="003F7852" w:rsidRDefault="007B1894" w:rsidP="00190F01">
            <w:pPr>
              <w:pStyle w:val="Heading1"/>
              <w:rPr>
                <w:rFonts w:ascii="Times New Roman" w:eastAsia="Times New Roman" w:hAnsi="Times New Roman" w:cs="Times New Roman"/>
                <w:b w:val="0"/>
                <w:bCs w:val="0"/>
                <w:noProof/>
                <w:color w:val="000000"/>
                <w:sz w:val="24"/>
                <w:szCs w:val="24"/>
                <w:lang w:val="sq-AL" w:eastAsia="sq-AL"/>
              </w:rPr>
            </w:pPr>
            <w:bookmarkStart w:id="9" w:name="_Toc69204582"/>
            <w:r w:rsidRPr="003F7852">
              <w:rPr>
                <w:rFonts w:ascii="Times New Roman" w:eastAsia="Times New Roman" w:hAnsi="Times New Roman" w:cs="Times New Roman"/>
                <w:noProof/>
                <w:color w:val="000000"/>
                <w:sz w:val="24"/>
                <w:szCs w:val="24"/>
                <w:lang w:val="sq-AL" w:eastAsia="sq-AL"/>
              </w:rPr>
              <w:t>9</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Shpeshtësia e shpërndarjes</w:t>
            </w:r>
            <w:bookmarkEnd w:id="9"/>
          </w:p>
        </w:tc>
        <w:tc>
          <w:tcPr>
            <w:tcW w:w="8164" w:type="dxa"/>
            <w:shd w:val="clear" w:color="auto" w:fill="auto"/>
            <w:noWrap/>
            <w:vAlign w:val="center"/>
            <w:hideMark/>
          </w:tcPr>
          <w:p w14:paraId="46FFCFF0" w14:textId="506A9B79" w:rsidR="007B1894" w:rsidRPr="0003619E" w:rsidRDefault="002F3481" w:rsidP="007E5239">
            <w:pPr>
              <w:spacing w:before="240"/>
              <w:jc w:val="both"/>
              <w:rPr>
                <w:rFonts w:ascii="Times New Roman" w:eastAsia="Times New Roman" w:hAnsi="Times New Roman" w:cs="Times New Roman"/>
                <w:noProof/>
                <w:color w:val="000000"/>
                <w:sz w:val="24"/>
                <w:szCs w:val="24"/>
                <w:lang w:val="sq-AL" w:eastAsia="sq-AL"/>
              </w:rPr>
            </w:pPr>
            <w:r w:rsidRPr="0003619E">
              <w:rPr>
                <w:rFonts w:ascii="Times New Roman" w:eastAsia="Times New Roman" w:hAnsi="Times New Roman" w:cs="Times New Roman"/>
                <w:noProof/>
                <w:color w:val="000000"/>
                <w:sz w:val="24"/>
                <w:szCs w:val="24"/>
                <w:lang w:val="sq-AL" w:eastAsia="sq-AL"/>
              </w:rPr>
              <w:t>Rezultatet</w:t>
            </w:r>
            <w:r w:rsidR="00401654" w:rsidRPr="0003619E">
              <w:rPr>
                <w:rFonts w:ascii="Times New Roman" w:eastAsia="Times New Roman" w:hAnsi="Times New Roman" w:cs="Times New Roman"/>
                <w:noProof/>
                <w:color w:val="000000"/>
                <w:sz w:val="24"/>
                <w:szCs w:val="24"/>
                <w:lang w:val="sq-AL" w:eastAsia="sq-AL"/>
              </w:rPr>
              <w:t xml:space="preserve"> e Statistikave të </w:t>
            </w:r>
            <w:r w:rsidR="00190F01" w:rsidRPr="0003619E">
              <w:rPr>
                <w:rFonts w:ascii="Times New Roman" w:eastAsia="Times New Roman" w:hAnsi="Times New Roman" w:cs="Times New Roman"/>
                <w:noProof/>
                <w:color w:val="000000"/>
                <w:sz w:val="24"/>
                <w:szCs w:val="24"/>
                <w:lang w:val="sq-AL" w:eastAsia="sq-AL"/>
              </w:rPr>
              <w:t xml:space="preserve">Strukturave </w:t>
            </w:r>
            <w:r w:rsidR="00401654" w:rsidRPr="0003619E">
              <w:rPr>
                <w:rFonts w:ascii="Times New Roman" w:eastAsia="Times New Roman" w:hAnsi="Times New Roman" w:cs="Times New Roman"/>
                <w:noProof/>
                <w:color w:val="000000"/>
                <w:sz w:val="24"/>
                <w:szCs w:val="24"/>
                <w:lang w:val="sq-AL" w:eastAsia="sq-AL"/>
              </w:rPr>
              <w:t>Akomod</w:t>
            </w:r>
            <w:r w:rsidR="00190F01" w:rsidRPr="0003619E">
              <w:rPr>
                <w:rFonts w:ascii="Times New Roman" w:eastAsia="Times New Roman" w:hAnsi="Times New Roman" w:cs="Times New Roman"/>
                <w:noProof/>
                <w:color w:val="000000"/>
                <w:sz w:val="24"/>
                <w:szCs w:val="24"/>
                <w:lang w:val="sq-AL" w:eastAsia="sq-AL"/>
              </w:rPr>
              <w:t>uese</w:t>
            </w:r>
            <w:r w:rsidR="00401654" w:rsidRPr="0003619E">
              <w:rPr>
                <w:rFonts w:ascii="Times New Roman" w:eastAsia="Times New Roman" w:hAnsi="Times New Roman" w:cs="Times New Roman"/>
                <w:noProof/>
                <w:color w:val="000000"/>
                <w:sz w:val="24"/>
                <w:szCs w:val="24"/>
                <w:lang w:val="sq-AL" w:eastAsia="sq-AL"/>
              </w:rPr>
              <w:t xml:space="preserve"> 20</w:t>
            </w:r>
            <w:r w:rsidR="004C0933" w:rsidRPr="0003619E">
              <w:rPr>
                <w:rFonts w:ascii="Times New Roman" w:eastAsia="Times New Roman" w:hAnsi="Times New Roman" w:cs="Times New Roman"/>
                <w:noProof/>
                <w:color w:val="000000"/>
                <w:sz w:val="24"/>
                <w:szCs w:val="24"/>
                <w:lang w:val="sq-AL" w:eastAsia="sq-AL"/>
              </w:rPr>
              <w:t>20</w:t>
            </w:r>
            <w:r w:rsidR="00401654" w:rsidRPr="0003619E">
              <w:rPr>
                <w:rFonts w:ascii="Times New Roman" w:eastAsia="Times New Roman" w:hAnsi="Times New Roman" w:cs="Times New Roman"/>
                <w:noProof/>
                <w:color w:val="000000"/>
                <w:sz w:val="24"/>
                <w:szCs w:val="24"/>
                <w:lang w:val="sq-AL" w:eastAsia="sq-AL"/>
              </w:rPr>
              <w:t xml:space="preserve"> janë publiku</w:t>
            </w:r>
            <w:r w:rsidRPr="0003619E">
              <w:rPr>
                <w:rFonts w:ascii="Times New Roman" w:eastAsia="Times New Roman" w:hAnsi="Times New Roman" w:cs="Times New Roman"/>
                <w:noProof/>
                <w:color w:val="000000"/>
                <w:sz w:val="24"/>
                <w:szCs w:val="24"/>
                <w:lang w:val="sq-AL" w:eastAsia="sq-AL"/>
              </w:rPr>
              <w:t>ar</w:t>
            </w:r>
            <w:r w:rsidR="00401654" w:rsidRPr="0003619E">
              <w:rPr>
                <w:rFonts w:ascii="Times New Roman" w:eastAsia="Times New Roman" w:hAnsi="Times New Roman" w:cs="Times New Roman"/>
                <w:noProof/>
                <w:color w:val="000000"/>
                <w:sz w:val="24"/>
                <w:szCs w:val="24"/>
                <w:lang w:val="sq-AL" w:eastAsia="sq-AL"/>
              </w:rPr>
              <w:t xml:space="preserve"> në bazë </w:t>
            </w:r>
            <w:r w:rsidR="007E5239" w:rsidRPr="0003619E">
              <w:rPr>
                <w:rFonts w:ascii="Times New Roman" w:eastAsia="Times New Roman" w:hAnsi="Times New Roman" w:cs="Times New Roman"/>
                <w:noProof/>
                <w:color w:val="000000"/>
                <w:sz w:val="24"/>
                <w:szCs w:val="24"/>
                <w:lang w:val="sq-AL" w:eastAsia="sq-AL"/>
              </w:rPr>
              <w:t>tre</w:t>
            </w:r>
            <w:r w:rsidR="004C0933" w:rsidRPr="0003619E">
              <w:rPr>
                <w:rFonts w:ascii="Times New Roman" w:eastAsia="Times New Roman" w:hAnsi="Times New Roman" w:cs="Times New Roman"/>
                <w:noProof/>
                <w:color w:val="000000"/>
                <w:sz w:val="24"/>
                <w:szCs w:val="24"/>
                <w:lang w:val="sq-AL" w:eastAsia="sq-AL"/>
              </w:rPr>
              <w:t>mujore</w:t>
            </w:r>
            <w:r w:rsidR="00B2442F" w:rsidRPr="0003619E">
              <w:rPr>
                <w:rFonts w:ascii="Times New Roman" w:eastAsia="Times New Roman" w:hAnsi="Times New Roman" w:cs="Times New Roman"/>
                <w:noProof/>
                <w:color w:val="000000"/>
                <w:sz w:val="24"/>
                <w:szCs w:val="24"/>
                <w:lang w:val="sq-AL" w:eastAsia="sq-AL"/>
              </w:rPr>
              <w:t xml:space="preserve"> dhe</w:t>
            </w:r>
            <w:r w:rsidR="004C0933" w:rsidRPr="0003619E">
              <w:rPr>
                <w:rFonts w:ascii="Times New Roman" w:eastAsia="Times New Roman" w:hAnsi="Times New Roman" w:cs="Times New Roman"/>
                <w:noProof/>
                <w:color w:val="000000"/>
                <w:sz w:val="24"/>
                <w:szCs w:val="24"/>
                <w:lang w:val="sq-AL" w:eastAsia="sq-AL"/>
              </w:rPr>
              <w:t xml:space="preserve"> </w:t>
            </w:r>
            <w:r w:rsidR="00401654" w:rsidRPr="0003619E">
              <w:rPr>
                <w:rFonts w:ascii="Times New Roman" w:eastAsia="Times New Roman" w:hAnsi="Times New Roman" w:cs="Times New Roman"/>
                <w:noProof/>
                <w:color w:val="000000"/>
                <w:sz w:val="24"/>
                <w:szCs w:val="24"/>
                <w:lang w:val="sq-AL" w:eastAsia="sq-AL"/>
              </w:rPr>
              <w:t>vjetore.</w:t>
            </w:r>
          </w:p>
        </w:tc>
      </w:tr>
      <w:tr w:rsidR="007B1894" w:rsidRPr="003F7852" w14:paraId="3282E60E" w14:textId="77777777" w:rsidTr="00C50933">
        <w:trPr>
          <w:trHeight w:val="567"/>
        </w:trPr>
        <w:tc>
          <w:tcPr>
            <w:tcW w:w="10682" w:type="dxa"/>
            <w:gridSpan w:val="2"/>
            <w:shd w:val="clear" w:color="auto" w:fill="FBD4B4" w:themeFill="accent6" w:themeFillTint="66"/>
            <w:noWrap/>
            <w:vAlign w:val="center"/>
            <w:hideMark/>
          </w:tcPr>
          <w:p w14:paraId="452EE137" w14:textId="77777777" w:rsidR="007B1894" w:rsidRPr="003F7852" w:rsidRDefault="007B1894" w:rsidP="00430D9B">
            <w:pPr>
              <w:pStyle w:val="Heading1"/>
              <w:spacing w:before="0"/>
              <w:rPr>
                <w:rFonts w:ascii="Times New Roman" w:eastAsia="Times New Roman" w:hAnsi="Times New Roman" w:cs="Times New Roman"/>
                <w:b w:val="0"/>
                <w:bCs w:val="0"/>
                <w:noProof/>
                <w:sz w:val="24"/>
                <w:szCs w:val="24"/>
                <w:lang w:val="sq-AL" w:eastAsia="sq-AL"/>
              </w:rPr>
            </w:pPr>
            <w:bookmarkStart w:id="10" w:name="_Toc69204583"/>
            <w:r w:rsidRPr="003F7852">
              <w:rPr>
                <w:rFonts w:ascii="Times New Roman" w:eastAsia="Times New Roman" w:hAnsi="Times New Roman" w:cs="Times New Roman"/>
                <w:noProof/>
                <w:color w:val="000000"/>
                <w:sz w:val="24"/>
                <w:szCs w:val="24"/>
                <w:lang w:val="sq-AL" w:eastAsia="sq-AL"/>
              </w:rPr>
              <w:t>10</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Aksesi në të dhëna dhe qartësia</w:t>
            </w:r>
            <w:bookmarkEnd w:id="10"/>
          </w:p>
        </w:tc>
      </w:tr>
      <w:tr w:rsidR="00E43898" w:rsidRPr="003F7852" w14:paraId="40A58257" w14:textId="77777777" w:rsidTr="00C50933">
        <w:trPr>
          <w:trHeight w:val="567"/>
        </w:trPr>
        <w:tc>
          <w:tcPr>
            <w:tcW w:w="2518" w:type="dxa"/>
            <w:shd w:val="clear" w:color="auto" w:fill="FFFFCC"/>
            <w:noWrap/>
            <w:vAlign w:val="center"/>
            <w:hideMark/>
          </w:tcPr>
          <w:p w14:paraId="62C07037"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10.1. Njoftim për media</w:t>
            </w:r>
          </w:p>
        </w:tc>
        <w:tc>
          <w:tcPr>
            <w:tcW w:w="8164" w:type="dxa"/>
            <w:shd w:val="clear" w:color="auto" w:fill="auto"/>
            <w:vAlign w:val="center"/>
          </w:tcPr>
          <w:p w14:paraId="0B9DD29D" w14:textId="195537F6" w:rsidR="000C7C72" w:rsidRPr="003F7852" w:rsidRDefault="002F3481" w:rsidP="00BE54CA">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Publikimi i rezultateve mbi statistikat e Strukturave Akomoduese është në dispozicion në faqen e internetit të INSTAT.</w:t>
            </w:r>
            <w:r w:rsidR="00945E65">
              <w:rPr>
                <w:rFonts w:ascii="Times New Roman" w:eastAsia="Times New Roman" w:hAnsi="Times New Roman" w:cs="Times New Roman"/>
                <w:noProof/>
                <w:color w:val="000000"/>
                <w:sz w:val="24"/>
                <w:szCs w:val="24"/>
                <w:lang w:val="sq-AL" w:eastAsia="sq-AL"/>
              </w:rPr>
              <w:t xml:space="preserve"> </w:t>
            </w:r>
            <w:r w:rsidR="000C7C72" w:rsidRPr="009E2EB7">
              <w:rPr>
                <w:rFonts w:ascii="Times New Roman" w:hAnsi="Times New Roman" w:cs="Times New Roman"/>
                <w:sz w:val="24"/>
                <w:szCs w:val="24"/>
                <w:lang w:val="sq-AL"/>
              </w:rPr>
              <w:t xml:space="preserve">Formati i njoftimit për shtyp përcaktohet nga sektori i publikimit. Njoftimi për shtyp i anketës së </w:t>
            </w:r>
            <w:r w:rsidR="000C7C72" w:rsidRPr="003F7852">
              <w:rPr>
                <w:rFonts w:ascii="Times New Roman" w:eastAsia="Times New Roman" w:hAnsi="Times New Roman" w:cs="Times New Roman"/>
                <w:noProof/>
                <w:color w:val="000000"/>
                <w:sz w:val="24"/>
                <w:szCs w:val="24"/>
                <w:lang w:val="sq-AL" w:eastAsia="sq-AL"/>
              </w:rPr>
              <w:t xml:space="preserve">Strukturave </w:t>
            </w:r>
            <w:r w:rsidR="000C7C72" w:rsidRPr="003F7852">
              <w:rPr>
                <w:rFonts w:ascii="Times New Roman" w:eastAsia="Times New Roman" w:hAnsi="Times New Roman" w:cs="Times New Roman"/>
                <w:noProof/>
                <w:color w:val="000000"/>
                <w:sz w:val="24"/>
                <w:szCs w:val="24"/>
                <w:lang w:val="sq-AL" w:eastAsia="sq-AL"/>
              </w:rPr>
              <w:lastRenderedPageBreak/>
              <w:t>Akomoduese</w:t>
            </w:r>
            <w:r w:rsidR="000C7C72" w:rsidRPr="009E2EB7">
              <w:rPr>
                <w:rFonts w:ascii="Times New Roman" w:hAnsi="Times New Roman" w:cs="Times New Roman"/>
                <w:sz w:val="24"/>
                <w:szCs w:val="24"/>
                <w:lang w:val="sq-AL"/>
              </w:rPr>
              <w:t xml:space="preserve"> publikohet online në faqen e internetit të INSTAT.</w:t>
            </w:r>
          </w:p>
        </w:tc>
      </w:tr>
      <w:tr w:rsidR="00E43898" w:rsidRPr="003F7852" w14:paraId="65431447" w14:textId="77777777" w:rsidTr="00C50933">
        <w:trPr>
          <w:trHeight w:val="567"/>
        </w:trPr>
        <w:tc>
          <w:tcPr>
            <w:tcW w:w="2518" w:type="dxa"/>
            <w:shd w:val="clear" w:color="auto" w:fill="FFFFCC"/>
            <w:noWrap/>
            <w:vAlign w:val="center"/>
            <w:hideMark/>
          </w:tcPr>
          <w:p w14:paraId="28860B04"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10.2. Publikime</w:t>
            </w:r>
          </w:p>
        </w:tc>
        <w:tc>
          <w:tcPr>
            <w:tcW w:w="8164" w:type="dxa"/>
            <w:shd w:val="clear" w:color="auto" w:fill="auto"/>
            <w:vAlign w:val="center"/>
          </w:tcPr>
          <w:p w14:paraId="39614FE7" w14:textId="40CA3B2F" w:rsidR="00E43898" w:rsidRPr="003F7852" w:rsidRDefault="00E54066" w:rsidP="00DB66EC">
            <w:pPr>
              <w:spacing w:before="240"/>
              <w:jc w:val="both"/>
              <w:rPr>
                <w:rFonts w:ascii="Times New Roman" w:eastAsia="Times New Roman" w:hAnsi="Times New Roman" w:cs="Times New Roman"/>
                <w:noProof/>
                <w:color w:val="000000"/>
                <w:sz w:val="24"/>
                <w:szCs w:val="24"/>
                <w:lang w:val="sq-AL" w:eastAsia="sq-AL"/>
              </w:rPr>
            </w:pPr>
            <w:hyperlink r:id="rId21" w:anchor="tab3" w:history="1">
              <w:r w:rsidR="002F3481" w:rsidRPr="00E54066">
                <w:rPr>
                  <w:rStyle w:val="Hyperlink"/>
                  <w:rFonts w:ascii="Times New Roman" w:eastAsia="Times New Roman" w:hAnsi="Times New Roman" w:cs="Times New Roman"/>
                  <w:noProof/>
                  <w:sz w:val="24"/>
                  <w:szCs w:val="24"/>
                  <w:lang w:val="sq-AL" w:eastAsia="sq-AL"/>
                </w:rPr>
                <w:t xml:space="preserve">Rezultatet e </w:t>
              </w:r>
              <w:r w:rsidR="000C62D2" w:rsidRPr="00E54066">
                <w:rPr>
                  <w:rStyle w:val="Hyperlink"/>
                  <w:rFonts w:ascii="Times New Roman" w:eastAsia="Times New Roman" w:hAnsi="Times New Roman" w:cs="Times New Roman"/>
                  <w:noProof/>
                  <w:sz w:val="24"/>
                  <w:szCs w:val="24"/>
                  <w:lang w:val="sq-AL" w:eastAsia="sq-AL"/>
                </w:rPr>
                <w:t>S</w:t>
              </w:r>
              <w:r w:rsidR="002F3481" w:rsidRPr="00E54066">
                <w:rPr>
                  <w:rStyle w:val="Hyperlink"/>
                  <w:rFonts w:ascii="Times New Roman" w:eastAsia="Times New Roman" w:hAnsi="Times New Roman" w:cs="Times New Roman"/>
                  <w:noProof/>
                  <w:sz w:val="24"/>
                  <w:szCs w:val="24"/>
                  <w:lang w:val="sq-AL" w:eastAsia="sq-AL"/>
                </w:rPr>
                <w:t>tatistikave të Strukturave Akomoduese</w:t>
              </w:r>
            </w:hyperlink>
            <w:r w:rsidR="00DB66EC">
              <w:rPr>
                <w:rStyle w:val="Hyperlink"/>
                <w:rFonts w:ascii="Times New Roman" w:eastAsia="Times New Roman" w:hAnsi="Times New Roman" w:cs="Times New Roman"/>
                <w:noProof/>
                <w:color w:val="auto"/>
                <w:sz w:val="24"/>
                <w:szCs w:val="24"/>
                <w:u w:val="none"/>
                <w:lang w:val="sq-AL" w:eastAsia="sq-AL"/>
              </w:rPr>
              <w:t xml:space="preserve"> </w:t>
            </w:r>
            <w:r w:rsidR="002F3481" w:rsidRPr="003F7852">
              <w:rPr>
                <w:rFonts w:ascii="Times New Roman" w:eastAsia="Times New Roman" w:hAnsi="Times New Roman" w:cs="Times New Roman"/>
                <w:noProof/>
                <w:color w:val="000000"/>
                <w:sz w:val="24"/>
                <w:szCs w:val="24"/>
                <w:lang w:val="sq-AL" w:eastAsia="sq-AL"/>
              </w:rPr>
              <w:t>janë publikuar në një botim të dedikuar</w:t>
            </w:r>
            <w:r w:rsidR="000A5665">
              <w:rPr>
                <w:rFonts w:ascii="Times New Roman" w:eastAsia="Times New Roman" w:hAnsi="Times New Roman" w:cs="Times New Roman"/>
                <w:noProof/>
                <w:color w:val="000000"/>
                <w:sz w:val="24"/>
                <w:szCs w:val="24"/>
                <w:lang w:val="sq-AL" w:eastAsia="sq-AL"/>
              </w:rPr>
              <w:t>,</w:t>
            </w:r>
            <w:r w:rsidR="002F3481" w:rsidRPr="003F7852">
              <w:rPr>
                <w:rFonts w:ascii="Times New Roman" w:eastAsia="Times New Roman" w:hAnsi="Times New Roman" w:cs="Times New Roman"/>
                <w:noProof/>
                <w:color w:val="000000"/>
                <w:sz w:val="24"/>
                <w:szCs w:val="24"/>
                <w:lang w:val="sq-AL" w:eastAsia="sq-AL"/>
              </w:rPr>
              <w:t xml:space="preserve"> </w:t>
            </w:r>
            <w:hyperlink r:id="rId22" w:history="1">
              <w:r w:rsidR="002F3481" w:rsidRPr="000A5665">
                <w:rPr>
                  <w:rStyle w:val="Hyperlink"/>
                  <w:rFonts w:ascii="Times New Roman" w:eastAsia="Times New Roman" w:hAnsi="Times New Roman" w:cs="Times New Roman"/>
                  <w:noProof/>
                  <w:sz w:val="24"/>
                  <w:szCs w:val="24"/>
                  <w:lang w:val="sq-AL" w:eastAsia="sq-AL"/>
                </w:rPr>
                <w:t>Vjetarin Rajonal Statistikor</w:t>
              </w:r>
              <w:r w:rsidR="00B517F1" w:rsidRPr="000A5665">
                <w:rPr>
                  <w:rStyle w:val="Hyperlink"/>
                  <w:rFonts w:ascii="Times New Roman" w:eastAsia="Times New Roman" w:hAnsi="Times New Roman" w:cs="Times New Roman"/>
                  <w:noProof/>
                  <w:sz w:val="24"/>
                  <w:szCs w:val="24"/>
                  <w:lang w:val="sq-AL" w:eastAsia="sq-AL"/>
                </w:rPr>
                <w:t xml:space="preserve"> dhe Turizmin në shifra</w:t>
              </w:r>
            </w:hyperlink>
            <w:r w:rsidR="002F3481" w:rsidRPr="003F7852">
              <w:rPr>
                <w:rFonts w:ascii="Times New Roman" w:eastAsia="Times New Roman" w:hAnsi="Times New Roman" w:cs="Times New Roman"/>
                <w:noProof/>
                <w:color w:val="000000"/>
                <w:sz w:val="24"/>
                <w:szCs w:val="24"/>
                <w:lang w:val="sq-AL" w:eastAsia="sq-AL"/>
              </w:rPr>
              <w:t>.</w:t>
            </w:r>
          </w:p>
        </w:tc>
      </w:tr>
      <w:tr w:rsidR="00E43898" w:rsidRPr="003F7852" w14:paraId="425CA48F" w14:textId="77777777" w:rsidTr="00C50933">
        <w:trPr>
          <w:trHeight w:val="567"/>
        </w:trPr>
        <w:tc>
          <w:tcPr>
            <w:tcW w:w="2518" w:type="dxa"/>
            <w:shd w:val="clear" w:color="auto" w:fill="FFFFCC"/>
            <w:noWrap/>
            <w:vAlign w:val="center"/>
            <w:hideMark/>
          </w:tcPr>
          <w:p w14:paraId="596DCCF2"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10.3. Baza e të dhënave on-line</w:t>
            </w:r>
          </w:p>
        </w:tc>
        <w:tc>
          <w:tcPr>
            <w:tcW w:w="8164" w:type="dxa"/>
            <w:shd w:val="clear" w:color="auto" w:fill="auto"/>
            <w:vAlign w:val="center"/>
          </w:tcPr>
          <w:p w14:paraId="645C41FE" w14:textId="6A942C50" w:rsidR="002F3481" w:rsidRPr="003F7852" w:rsidRDefault="002F3481" w:rsidP="000A5665">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Të gjitha të dhënat janë në dispozicion në të dy gjuhët shqipe dhe angleze. Rezultatet mbi </w:t>
            </w:r>
            <w:r w:rsidRPr="000A5665">
              <w:rPr>
                <w:rFonts w:ascii="Times New Roman" w:eastAsia="Times New Roman" w:hAnsi="Times New Roman" w:cs="Times New Roman"/>
                <w:noProof/>
                <w:sz w:val="24"/>
                <w:szCs w:val="24"/>
                <w:lang w:val="sq-AL" w:eastAsia="sq-AL"/>
              </w:rPr>
              <w:t xml:space="preserve">Anketën e </w:t>
            </w:r>
            <w:r w:rsidR="000A5665" w:rsidRPr="000A5665">
              <w:rPr>
                <w:rFonts w:ascii="Times New Roman" w:eastAsia="Times New Roman" w:hAnsi="Times New Roman" w:cs="Times New Roman"/>
                <w:noProof/>
                <w:sz w:val="24"/>
                <w:szCs w:val="24"/>
                <w:lang w:val="sq-AL" w:eastAsia="sq-AL"/>
              </w:rPr>
              <w:t>Strukturave Akomoduese</w:t>
            </w:r>
            <w:r w:rsidRPr="000A5665">
              <w:rPr>
                <w:rFonts w:ascii="Times New Roman" w:eastAsia="Times New Roman" w:hAnsi="Times New Roman" w:cs="Times New Roman"/>
                <w:noProof/>
                <w:sz w:val="24"/>
                <w:szCs w:val="24"/>
                <w:lang w:val="sq-AL" w:eastAsia="sq-AL"/>
              </w:rPr>
              <w:t xml:space="preserve"> </w:t>
            </w:r>
            <w:r w:rsidRPr="003F7852">
              <w:rPr>
                <w:rFonts w:ascii="Times New Roman" w:eastAsia="Times New Roman" w:hAnsi="Times New Roman" w:cs="Times New Roman"/>
                <w:noProof/>
                <w:color w:val="000000"/>
                <w:sz w:val="24"/>
                <w:szCs w:val="24"/>
                <w:lang w:val="sq-AL" w:eastAsia="sq-AL"/>
              </w:rPr>
              <w:t xml:space="preserve">nuk janë të vendosura në bazën e të dhënave statistikore, ato mund të gjenden në formatin Excel ku publikohen treguesit kryesorë. Këto tabela mund të gjenden në linkun: </w:t>
            </w:r>
            <w:hyperlink r:id="rId23" w:anchor="tab2" w:history="1">
              <w:r w:rsidRPr="003F7852">
                <w:rPr>
                  <w:rStyle w:val="Hyperlink"/>
                  <w:rFonts w:ascii="Times New Roman" w:eastAsia="Times New Roman" w:hAnsi="Times New Roman" w:cs="Times New Roman"/>
                  <w:noProof/>
                  <w:sz w:val="24"/>
                  <w:szCs w:val="24"/>
                  <w:lang w:val="sq-AL" w:eastAsia="sq-AL"/>
                </w:rPr>
                <w:t>Shifrat</w:t>
              </w:r>
            </w:hyperlink>
          </w:p>
        </w:tc>
      </w:tr>
      <w:tr w:rsidR="00B15F7B" w:rsidRPr="003F7852" w14:paraId="3498A701" w14:textId="77777777" w:rsidTr="00C50933">
        <w:trPr>
          <w:trHeight w:val="567"/>
        </w:trPr>
        <w:tc>
          <w:tcPr>
            <w:tcW w:w="2518" w:type="dxa"/>
            <w:shd w:val="clear" w:color="auto" w:fill="FFFFCC"/>
            <w:noWrap/>
            <w:vAlign w:val="center"/>
            <w:hideMark/>
          </w:tcPr>
          <w:p w14:paraId="7721E261" w14:textId="77777777" w:rsidR="009A7035" w:rsidRPr="003F7852" w:rsidRDefault="009A7035"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10.4. Aksesi në të dhënat mikro </w:t>
            </w:r>
          </w:p>
        </w:tc>
        <w:tc>
          <w:tcPr>
            <w:tcW w:w="8164" w:type="dxa"/>
            <w:shd w:val="clear" w:color="auto" w:fill="auto"/>
            <w:noWrap/>
            <w:vAlign w:val="center"/>
            <w:hideMark/>
          </w:tcPr>
          <w:p w14:paraId="69F69AAC" w14:textId="77777777" w:rsidR="009A7035" w:rsidRPr="003F7852" w:rsidRDefault="009B3267" w:rsidP="000C62D2">
            <w:pPr>
              <w:spacing w:before="240" w:after="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e Anketës së Strukturave Akomoduese  në nivel mikro nuk bëhen të disponueshme, si pasojë e ruajtjes së konfidencialitetit. Të dhënat e agreguara, janë lloji i vetëm i të dhënave që ofrohet për përdoruesit e jashtëm. Edhe pse të dhënat mikro nuk publikohen, ato mund të aksesohen në bazë të nenit 31, pika 7 ligji nr. 17/2018, datë 17.04.2018 "Për statistikat zyrtare".</w:t>
            </w:r>
            <w:r w:rsidR="002F3481" w:rsidRPr="003F7852">
              <w:rPr>
                <w:rFonts w:ascii="Times New Roman" w:eastAsia="Times New Roman" w:hAnsi="Times New Roman" w:cs="Times New Roman"/>
                <w:noProof/>
                <w:color w:val="000000"/>
                <w:sz w:val="24"/>
                <w:szCs w:val="24"/>
                <w:lang w:val="sq-AL" w:eastAsia="sq-AL"/>
              </w:rPr>
              <w:t xml:space="preserve"> </w:t>
            </w:r>
          </w:p>
        </w:tc>
      </w:tr>
      <w:tr w:rsidR="00B15F7B" w:rsidRPr="003F7852" w14:paraId="1C286730" w14:textId="77777777" w:rsidTr="00C50933">
        <w:trPr>
          <w:trHeight w:val="567"/>
        </w:trPr>
        <w:tc>
          <w:tcPr>
            <w:tcW w:w="2518" w:type="dxa"/>
            <w:shd w:val="clear" w:color="auto" w:fill="FFFFCC"/>
            <w:noWrap/>
            <w:vAlign w:val="center"/>
            <w:hideMark/>
          </w:tcPr>
          <w:p w14:paraId="5F4BA821" w14:textId="77777777" w:rsidR="009A7035" w:rsidRPr="003F7852" w:rsidRDefault="009A7035"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10.5. Të tjera</w:t>
            </w:r>
          </w:p>
        </w:tc>
        <w:tc>
          <w:tcPr>
            <w:tcW w:w="8164" w:type="dxa"/>
            <w:shd w:val="clear" w:color="auto" w:fill="auto"/>
            <w:noWrap/>
            <w:vAlign w:val="center"/>
            <w:hideMark/>
          </w:tcPr>
          <w:p w14:paraId="747DE0DD" w14:textId="77777777" w:rsidR="009A7035" w:rsidRPr="003F7852" w:rsidRDefault="00AA115F" w:rsidP="00FD34CF">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Përdoruesit mund të dërgojnë kërkesa të tjera specifike nëpërmjet një sesioni të dedikuar për kontaktet në linkun: </w:t>
            </w:r>
            <w:hyperlink r:id="rId24" w:history="1">
              <w:r w:rsidRPr="003F7852">
                <w:rPr>
                  <w:rStyle w:val="Hyperlink"/>
                  <w:rFonts w:ascii="Times New Roman" w:eastAsia="Times New Roman" w:hAnsi="Times New Roman" w:cs="Times New Roman"/>
                  <w:noProof/>
                  <w:sz w:val="24"/>
                  <w:szCs w:val="24"/>
                  <w:lang w:val="sq-AL" w:eastAsia="sq-AL"/>
                </w:rPr>
                <w:t>Kërkesë të dhënash</w:t>
              </w:r>
            </w:hyperlink>
            <w:r w:rsidR="00FD34CF">
              <w:rPr>
                <w:rStyle w:val="Hyperlink"/>
                <w:rFonts w:ascii="Times New Roman" w:eastAsia="Times New Roman" w:hAnsi="Times New Roman" w:cs="Times New Roman"/>
                <w:noProof/>
                <w:sz w:val="24"/>
                <w:szCs w:val="24"/>
                <w:lang w:val="sq-AL" w:eastAsia="sq-AL"/>
              </w:rPr>
              <w:t>.</w:t>
            </w:r>
          </w:p>
        </w:tc>
      </w:tr>
      <w:tr w:rsidR="00E43898" w:rsidRPr="003F7852" w14:paraId="211AECFC" w14:textId="77777777" w:rsidTr="00C50933">
        <w:trPr>
          <w:trHeight w:val="567"/>
        </w:trPr>
        <w:tc>
          <w:tcPr>
            <w:tcW w:w="2518" w:type="dxa"/>
            <w:shd w:val="clear" w:color="auto" w:fill="FFFFCC"/>
            <w:noWrap/>
            <w:vAlign w:val="center"/>
            <w:hideMark/>
          </w:tcPr>
          <w:p w14:paraId="550B5B4D"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10.6. Dokumentimi i metodologjisë </w:t>
            </w:r>
          </w:p>
        </w:tc>
        <w:tc>
          <w:tcPr>
            <w:tcW w:w="8164" w:type="dxa"/>
            <w:shd w:val="clear" w:color="auto" w:fill="auto"/>
            <w:vAlign w:val="center"/>
          </w:tcPr>
          <w:p w14:paraId="2FBA8206" w14:textId="77777777" w:rsidR="00E43898" w:rsidRPr="003F7852" w:rsidRDefault="00AA115F" w:rsidP="000C62D2">
            <w:pPr>
              <w:spacing w:before="240" w:after="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Një shpjegim i shkurtër në lidhje me përkufizimet e koncepteve kryesore dhe shpjegimet metodologjike u ofrohen përdoruesve në fund të njoftimeve për shtyp dhe botimeve. Informacion shtesë mbështetës u jepet përdoruesve të brendshëm kur është e nevojshme ose e kërkuar.</w:t>
            </w:r>
          </w:p>
        </w:tc>
      </w:tr>
      <w:tr w:rsidR="00B15F7B" w:rsidRPr="003F7852" w14:paraId="1F48826B" w14:textId="77777777" w:rsidTr="00C50933">
        <w:trPr>
          <w:trHeight w:val="567"/>
        </w:trPr>
        <w:tc>
          <w:tcPr>
            <w:tcW w:w="2518" w:type="dxa"/>
            <w:shd w:val="clear" w:color="auto" w:fill="FFFFCC"/>
            <w:noWrap/>
            <w:vAlign w:val="center"/>
            <w:hideMark/>
          </w:tcPr>
          <w:p w14:paraId="210239FE" w14:textId="77777777" w:rsidR="00547988" w:rsidRPr="0012163F" w:rsidRDefault="00547988" w:rsidP="00430D9B">
            <w:pPr>
              <w:spacing w:after="0"/>
              <w:rPr>
                <w:rFonts w:ascii="Times New Roman" w:eastAsia="Times New Roman" w:hAnsi="Times New Roman" w:cs="Times New Roman"/>
                <w:noProof/>
                <w:color w:val="000000"/>
                <w:sz w:val="24"/>
                <w:szCs w:val="24"/>
                <w:lang w:val="sq-AL" w:eastAsia="sq-AL"/>
              </w:rPr>
            </w:pPr>
            <w:r w:rsidRPr="0012163F">
              <w:rPr>
                <w:rFonts w:ascii="Times New Roman" w:eastAsia="Times New Roman" w:hAnsi="Times New Roman" w:cs="Times New Roman"/>
                <w:noProof/>
                <w:color w:val="000000"/>
                <w:sz w:val="24"/>
                <w:szCs w:val="24"/>
                <w:lang w:val="sq-AL" w:eastAsia="sq-AL"/>
              </w:rPr>
              <w:t>10.7. Dokumentimi i cilësisë</w:t>
            </w:r>
          </w:p>
        </w:tc>
        <w:tc>
          <w:tcPr>
            <w:tcW w:w="8164" w:type="dxa"/>
            <w:shd w:val="clear" w:color="auto" w:fill="auto"/>
            <w:noWrap/>
            <w:vAlign w:val="center"/>
            <w:hideMark/>
          </w:tcPr>
          <w:p w14:paraId="6D7792D2" w14:textId="77777777" w:rsidR="00547988" w:rsidRPr="0012163F" w:rsidRDefault="00AA115F" w:rsidP="000C62D2">
            <w:pPr>
              <w:spacing w:before="240" w:after="240"/>
              <w:jc w:val="both"/>
              <w:rPr>
                <w:rFonts w:ascii="Times New Roman" w:eastAsia="Times New Roman" w:hAnsi="Times New Roman" w:cs="Times New Roman"/>
                <w:noProof/>
                <w:color w:val="000000"/>
                <w:sz w:val="24"/>
                <w:szCs w:val="24"/>
                <w:lang w:val="sq-AL" w:eastAsia="sq-AL"/>
              </w:rPr>
            </w:pPr>
            <w:r w:rsidRPr="0012163F">
              <w:rPr>
                <w:rFonts w:ascii="Times New Roman" w:eastAsia="Times New Roman" w:hAnsi="Times New Roman" w:cs="Times New Roman"/>
                <w:noProof/>
                <w:color w:val="000000"/>
                <w:sz w:val="24"/>
                <w:szCs w:val="24"/>
                <w:lang w:val="sq-AL" w:eastAsia="sq-AL"/>
              </w:rPr>
              <w:t xml:space="preserve">Sektori i Statistikave Afatshkurtra dokumenton </w:t>
            </w:r>
            <w:r w:rsidR="00CB002D" w:rsidRPr="0012163F">
              <w:rPr>
                <w:rFonts w:ascii="Times New Roman" w:eastAsia="Times New Roman" w:hAnsi="Times New Roman" w:cs="Times New Roman"/>
                <w:noProof/>
                <w:color w:val="000000"/>
                <w:sz w:val="24"/>
                <w:szCs w:val="24"/>
                <w:lang w:val="sq-AL" w:eastAsia="sq-AL"/>
              </w:rPr>
              <w:t>të gjithë procesin e punës dhe procedurat e Anketës së Strukturave Akomoduese për qëllime të brendshme</w:t>
            </w:r>
            <w:r w:rsidRPr="0012163F">
              <w:rPr>
                <w:rFonts w:ascii="Times New Roman" w:eastAsia="Times New Roman" w:hAnsi="Times New Roman" w:cs="Times New Roman"/>
                <w:noProof/>
                <w:color w:val="000000"/>
                <w:sz w:val="24"/>
                <w:szCs w:val="24"/>
                <w:lang w:val="sq-AL" w:eastAsia="sq-AL"/>
              </w:rPr>
              <w:t>.</w:t>
            </w:r>
          </w:p>
        </w:tc>
      </w:tr>
      <w:tr w:rsidR="00547988" w:rsidRPr="003F7852" w14:paraId="51DB5DA7" w14:textId="77777777" w:rsidTr="00C50933">
        <w:trPr>
          <w:trHeight w:val="567"/>
        </w:trPr>
        <w:tc>
          <w:tcPr>
            <w:tcW w:w="10682" w:type="dxa"/>
            <w:gridSpan w:val="2"/>
            <w:shd w:val="clear" w:color="auto" w:fill="FBD4B4" w:themeFill="accent6" w:themeFillTint="66"/>
            <w:noWrap/>
            <w:vAlign w:val="center"/>
            <w:hideMark/>
          </w:tcPr>
          <w:p w14:paraId="3BC00DBA" w14:textId="77777777" w:rsidR="00547988" w:rsidRPr="003F7852" w:rsidRDefault="00547988"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9204584"/>
            <w:r w:rsidRPr="003F7852">
              <w:rPr>
                <w:rFonts w:ascii="Times New Roman" w:eastAsia="Times New Roman" w:hAnsi="Times New Roman" w:cs="Times New Roman"/>
                <w:noProof/>
                <w:color w:val="000000"/>
                <w:sz w:val="24"/>
                <w:szCs w:val="24"/>
                <w:lang w:val="sq-AL" w:eastAsia="sq-AL"/>
              </w:rPr>
              <w:t>11</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Manaxhimi i cilësisë</w:t>
            </w:r>
            <w:bookmarkEnd w:id="11"/>
          </w:p>
        </w:tc>
      </w:tr>
      <w:tr w:rsidR="00E43898" w:rsidRPr="003F7852" w14:paraId="07D0B77D" w14:textId="77777777" w:rsidTr="00DB66EC">
        <w:trPr>
          <w:trHeight w:val="562"/>
        </w:trPr>
        <w:tc>
          <w:tcPr>
            <w:tcW w:w="2518" w:type="dxa"/>
            <w:shd w:val="clear" w:color="auto" w:fill="FFFFCC"/>
            <w:noWrap/>
            <w:vAlign w:val="center"/>
            <w:hideMark/>
          </w:tcPr>
          <w:p w14:paraId="67A4BBA3"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11.1. Sigurimi i cilësisë </w:t>
            </w:r>
          </w:p>
        </w:tc>
        <w:tc>
          <w:tcPr>
            <w:tcW w:w="8164" w:type="dxa"/>
            <w:shd w:val="clear" w:color="auto" w:fill="auto"/>
            <w:vAlign w:val="center"/>
          </w:tcPr>
          <w:p w14:paraId="35BF529A" w14:textId="77777777" w:rsidR="00E43898" w:rsidRPr="003F7852" w:rsidRDefault="0015382A" w:rsidP="000C62D2">
            <w:pPr>
              <w:spacing w:before="240" w:after="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INSTAT është i angazhuar për sigurimin e cilësisë në prodhimin e statistikave zyrtare. Duke u bazuar në ligjin Nr.17/2018 “Për Statistikat Zyrtare",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w:t>
            </w:r>
            <w:r w:rsidRPr="003F7852">
              <w:rPr>
                <w:rFonts w:ascii="Times New Roman" w:eastAsia="Times New Roman" w:hAnsi="Times New Roman" w:cs="Times New Roman"/>
                <w:noProof/>
                <w:color w:val="000000"/>
                <w:sz w:val="24"/>
                <w:szCs w:val="24"/>
                <w:lang w:val="sq-AL" w:eastAsia="sq-AL"/>
              </w:rPr>
              <w:lastRenderedPageBreak/>
              <w:t>proceseve statistikore dhe reduktimi i ngarkesës së të intervistuarve.</w:t>
            </w:r>
          </w:p>
        </w:tc>
      </w:tr>
      <w:tr w:rsidR="00E43898" w:rsidRPr="003F7852" w14:paraId="56555F05" w14:textId="77777777" w:rsidTr="00DB66EC">
        <w:trPr>
          <w:trHeight w:val="562"/>
        </w:trPr>
        <w:tc>
          <w:tcPr>
            <w:tcW w:w="2518" w:type="dxa"/>
            <w:shd w:val="clear" w:color="auto" w:fill="FFFFCC"/>
            <w:noWrap/>
            <w:vAlign w:val="center"/>
            <w:hideMark/>
          </w:tcPr>
          <w:p w14:paraId="6D1BEC35"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11.2. Vlerësimi i cilësisë</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5688"/>
            </w:tblGrid>
            <w:tr w:rsidR="00E0342D" w:rsidRPr="003F7852" w14:paraId="16CBBB31" w14:textId="77777777" w:rsidTr="00851C1F">
              <w:tc>
                <w:tcPr>
                  <w:tcW w:w="2250" w:type="dxa"/>
                  <w:vAlign w:val="center"/>
                  <w:hideMark/>
                </w:tcPr>
                <w:p w14:paraId="63419720" w14:textId="77777777" w:rsidR="00E0342D" w:rsidRPr="003F7852" w:rsidRDefault="00E0342D" w:rsidP="006E67C0">
                  <w:pPr>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 xml:space="preserve">11.2.1 </w:t>
                  </w:r>
                  <w:r w:rsidRPr="003F7852">
                    <w:rPr>
                      <w:rFonts w:ascii="Times New Roman" w:eastAsia="Times New Roman" w:hAnsi="Times New Roman" w:cs="Times New Roman"/>
                      <w:noProof/>
                      <w:color w:val="000000"/>
                      <w:sz w:val="24"/>
                      <w:szCs w:val="24"/>
                      <w:lang w:val="sq-AL" w:eastAsia="sq-AL"/>
                    </w:rPr>
                    <w:t>Pikat e forta</w:t>
                  </w:r>
                </w:p>
              </w:tc>
              <w:tc>
                <w:tcPr>
                  <w:tcW w:w="5688" w:type="dxa"/>
                  <w:hideMark/>
                </w:tcPr>
                <w:p w14:paraId="664F99CA" w14:textId="77777777" w:rsidR="00E0342D" w:rsidRPr="003F7852" w:rsidRDefault="00494E28" w:rsidP="00494E28">
                  <w:pPr>
                    <w:spacing w:line="276" w:lineRule="auto"/>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Të</w:t>
                  </w:r>
                  <w:r w:rsidR="00E0342D" w:rsidRPr="003F7852">
                    <w:rPr>
                      <w:rFonts w:ascii="Times New Roman" w:eastAsia="Times New Roman" w:hAnsi="Times New Roman" w:cs="Times New Roman"/>
                      <w:noProof/>
                      <w:color w:val="000000"/>
                      <w:sz w:val="24"/>
                      <w:szCs w:val="24"/>
                      <w:lang w:val="sq-AL" w:eastAsia="sq-AL"/>
                    </w:rPr>
                    <w:t xml:space="preserve"> gjitha kërkesat e Rregullores merren në konsideratë, shkalla e përgjigjes është nën kontroll, të dhënat dhe raporti i cilësisë janë lehtësisht të arritshme për përdoruesit, etj.</w:t>
                  </w:r>
                </w:p>
              </w:tc>
            </w:tr>
            <w:tr w:rsidR="00851C1F" w:rsidRPr="003F7852" w14:paraId="17755EEF" w14:textId="77777777" w:rsidTr="00851C1F">
              <w:tc>
                <w:tcPr>
                  <w:tcW w:w="2250" w:type="dxa"/>
                  <w:vAlign w:val="center"/>
                  <w:hideMark/>
                </w:tcPr>
                <w:p w14:paraId="20D9145B" w14:textId="77777777" w:rsidR="00851C1F" w:rsidRPr="003F7852" w:rsidRDefault="00851C1F" w:rsidP="00494E28">
                  <w:pPr>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 xml:space="preserve">11.2.2 </w:t>
                  </w:r>
                  <w:r w:rsidRPr="003F7852">
                    <w:rPr>
                      <w:rFonts w:ascii="Times New Roman" w:eastAsia="Times New Roman" w:hAnsi="Times New Roman" w:cs="Times New Roman"/>
                      <w:noProof/>
                      <w:color w:val="000000"/>
                      <w:sz w:val="24"/>
                      <w:szCs w:val="24"/>
                      <w:lang w:val="sq-AL" w:eastAsia="sq-AL"/>
                    </w:rPr>
                    <w:t>Dobësitë kryesore</w:t>
                  </w:r>
                </w:p>
              </w:tc>
              <w:tc>
                <w:tcPr>
                  <w:tcW w:w="5688" w:type="dxa"/>
                  <w:hideMark/>
                </w:tcPr>
                <w:p w14:paraId="42EE9A76" w14:textId="77777777" w:rsidR="00CC444C" w:rsidRPr="003F7852" w:rsidRDefault="00851C1F" w:rsidP="00494E28">
                  <w:pPr>
                    <w:spacing w:line="276" w:lineRule="auto"/>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Një nga kufizimet kryesore të cilësisë në këto vrojtime mujore lidhet me faktin se </w:t>
                  </w:r>
                  <w:r w:rsidR="003F2797" w:rsidRPr="003F7852">
                    <w:rPr>
                      <w:rFonts w:ascii="Times New Roman" w:eastAsia="Times New Roman" w:hAnsi="Times New Roman" w:cs="Times New Roman"/>
                      <w:noProof/>
                      <w:color w:val="000000"/>
                      <w:sz w:val="24"/>
                      <w:szCs w:val="24"/>
                      <w:lang w:val="sq-AL" w:eastAsia="sq-AL"/>
                    </w:rPr>
                    <w:t>stafi përgjegjës i dizenjimit të kampionit</w:t>
                  </w:r>
                  <w:r w:rsidRPr="003F7852">
                    <w:rPr>
                      <w:rFonts w:ascii="Times New Roman" w:eastAsia="Times New Roman" w:hAnsi="Times New Roman" w:cs="Times New Roman"/>
                      <w:noProof/>
                      <w:color w:val="000000"/>
                      <w:sz w:val="24"/>
                      <w:szCs w:val="24"/>
                      <w:lang w:val="sq-AL" w:eastAsia="sq-AL"/>
                    </w:rPr>
                    <w:t xml:space="preserve"> </w:t>
                  </w:r>
                  <w:r w:rsidR="003F2797" w:rsidRPr="003F7852">
                    <w:rPr>
                      <w:rFonts w:ascii="Times New Roman" w:eastAsia="Times New Roman" w:hAnsi="Times New Roman" w:cs="Times New Roman"/>
                      <w:noProof/>
                      <w:color w:val="000000"/>
                      <w:sz w:val="24"/>
                      <w:szCs w:val="24"/>
                      <w:lang w:val="sq-AL" w:eastAsia="sq-AL"/>
                    </w:rPr>
                    <w:t>të INSTAT-it duhet të mbështetet</w:t>
                  </w:r>
                  <w:r w:rsidRPr="003F7852">
                    <w:rPr>
                      <w:rFonts w:ascii="Times New Roman" w:eastAsia="Times New Roman" w:hAnsi="Times New Roman" w:cs="Times New Roman"/>
                      <w:noProof/>
                      <w:color w:val="000000"/>
                      <w:sz w:val="24"/>
                      <w:szCs w:val="24"/>
                      <w:lang w:val="sq-AL" w:eastAsia="sq-AL"/>
                    </w:rPr>
                    <w:t xml:space="preserve"> në punësimin si një "përfaqësues" i kapacitetit të </w:t>
                  </w:r>
                  <w:r w:rsidR="003F2797" w:rsidRPr="003F7852">
                    <w:rPr>
                      <w:rFonts w:ascii="Times New Roman" w:eastAsia="Times New Roman" w:hAnsi="Times New Roman" w:cs="Times New Roman"/>
                      <w:noProof/>
                      <w:color w:val="000000"/>
                      <w:sz w:val="24"/>
                      <w:szCs w:val="24"/>
                      <w:lang w:val="sq-AL" w:eastAsia="sq-AL"/>
                    </w:rPr>
                    <w:t>strukturave</w:t>
                  </w:r>
                  <w:r w:rsidRPr="003F7852">
                    <w:rPr>
                      <w:rFonts w:ascii="Times New Roman" w:eastAsia="Times New Roman" w:hAnsi="Times New Roman" w:cs="Times New Roman"/>
                      <w:noProof/>
                      <w:color w:val="000000"/>
                      <w:sz w:val="24"/>
                      <w:szCs w:val="24"/>
                      <w:lang w:val="sq-AL" w:eastAsia="sq-AL"/>
                    </w:rPr>
                    <w:t xml:space="preserve"> të akomodimit të turizmit, në vend të numrit të </w:t>
                  </w:r>
                  <w:r w:rsidR="003F2797" w:rsidRPr="003F7852">
                    <w:rPr>
                      <w:rFonts w:ascii="Times New Roman" w:eastAsia="Times New Roman" w:hAnsi="Times New Roman" w:cs="Times New Roman"/>
                      <w:noProof/>
                      <w:color w:val="000000"/>
                      <w:sz w:val="24"/>
                      <w:szCs w:val="24"/>
                      <w:lang w:val="sq-AL" w:eastAsia="sq-AL"/>
                    </w:rPr>
                    <w:t>shtretërve</w:t>
                  </w:r>
                  <w:r w:rsidRPr="003F7852">
                    <w:rPr>
                      <w:rFonts w:ascii="Times New Roman" w:eastAsia="Times New Roman" w:hAnsi="Times New Roman" w:cs="Times New Roman"/>
                      <w:noProof/>
                      <w:color w:val="000000"/>
                      <w:sz w:val="24"/>
                      <w:szCs w:val="24"/>
                      <w:lang w:val="sq-AL" w:eastAsia="sq-AL"/>
                    </w:rPr>
                    <w:t xml:space="preserve">, i cili nuk është i disponueshëm në Regjistrin Statistikor të </w:t>
                  </w:r>
                  <w:r w:rsidR="003F2797" w:rsidRPr="003F7852">
                    <w:rPr>
                      <w:rFonts w:ascii="Times New Roman" w:eastAsia="Times New Roman" w:hAnsi="Times New Roman" w:cs="Times New Roman"/>
                      <w:noProof/>
                      <w:color w:val="000000"/>
                      <w:sz w:val="24"/>
                      <w:szCs w:val="24"/>
                      <w:lang w:val="sq-AL" w:eastAsia="sq-AL"/>
                    </w:rPr>
                    <w:t>Ndërmarrjeve</w:t>
                  </w:r>
                  <w:r w:rsidRPr="003F7852">
                    <w:rPr>
                      <w:rFonts w:ascii="Times New Roman" w:eastAsia="Times New Roman" w:hAnsi="Times New Roman" w:cs="Times New Roman"/>
                      <w:noProof/>
                      <w:color w:val="000000"/>
                      <w:sz w:val="24"/>
                      <w:szCs w:val="24"/>
                      <w:lang w:val="sq-AL" w:eastAsia="sq-AL"/>
                    </w:rPr>
                    <w:t xml:space="preserve">. Fakti që INSTAT nuk posedon informacion të plotë mbi kapacitetin e të gjitha </w:t>
                  </w:r>
                  <w:r w:rsidR="003F2797" w:rsidRPr="003F7852">
                    <w:rPr>
                      <w:rFonts w:ascii="Times New Roman" w:eastAsia="Times New Roman" w:hAnsi="Times New Roman" w:cs="Times New Roman"/>
                      <w:noProof/>
                      <w:color w:val="000000"/>
                      <w:sz w:val="24"/>
                      <w:szCs w:val="24"/>
                      <w:lang w:val="sq-AL" w:eastAsia="sq-AL"/>
                    </w:rPr>
                    <w:t>strukturave</w:t>
                  </w:r>
                  <w:r w:rsidRPr="003F7852">
                    <w:rPr>
                      <w:rFonts w:ascii="Times New Roman" w:eastAsia="Times New Roman" w:hAnsi="Times New Roman" w:cs="Times New Roman"/>
                      <w:noProof/>
                      <w:color w:val="000000"/>
                      <w:sz w:val="24"/>
                      <w:szCs w:val="24"/>
                      <w:lang w:val="sq-AL" w:eastAsia="sq-AL"/>
                    </w:rPr>
                    <w:t xml:space="preserve"> në </w:t>
                  </w:r>
                  <w:r w:rsidR="003F2797" w:rsidRPr="003F7852">
                    <w:rPr>
                      <w:rFonts w:ascii="Times New Roman" w:eastAsia="Times New Roman" w:hAnsi="Times New Roman" w:cs="Times New Roman"/>
                      <w:noProof/>
                      <w:color w:val="000000"/>
                      <w:sz w:val="24"/>
                      <w:szCs w:val="24"/>
                      <w:lang w:val="sq-AL" w:eastAsia="sq-AL"/>
                    </w:rPr>
                    <w:t>Listën e ndërmarrjeve të synuara</w:t>
                  </w:r>
                  <w:r w:rsidRPr="003F7852">
                    <w:rPr>
                      <w:rFonts w:ascii="Times New Roman" w:eastAsia="Times New Roman" w:hAnsi="Times New Roman" w:cs="Times New Roman"/>
                      <w:noProof/>
                      <w:color w:val="000000"/>
                      <w:sz w:val="24"/>
                      <w:szCs w:val="24"/>
                      <w:lang w:val="sq-AL" w:eastAsia="sq-AL"/>
                    </w:rPr>
                    <w:t>, gjithashtu nuk e lejon atë të përjashtojë njësitë që janë opcionale</w:t>
                  </w:r>
                  <w:r w:rsidR="003F2797" w:rsidRPr="003F7852">
                    <w:rPr>
                      <w:rFonts w:ascii="Times New Roman" w:eastAsia="Times New Roman" w:hAnsi="Times New Roman" w:cs="Times New Roman"/>
                      <w:noProof/>
                      <w:color w:val="000000"/>
                      <w:sz w:val="24"/>
                      <w:szCs w:val="24"/>
                      <w:lang w:val="sq-AL" w:eastAsia="sq-AL"/>
                    </w:rPr>
                    <w:t xml:space="preserve"> të Rregullores. N</w:t>
                  </w:r>
                  <w:r w:rsidRPr="003F7852">
                    <w:rPr>
                      <w:rFonts w:ascii="Times New Roman" w:eastAsia="Times New Roman" w:hAnsi="Times New Roman" w:cs="Times New Roman"/>
                      <w:noProof/>
                      <w:color w:val="000000"/>
                      <w:sz w:val="24"/>
                      <w:szCs w:val="24"/>
                      <w:lang w:val="sq-AL" w:eastAsia="sq-AL"/>
                    </w:rPr>
                    <w:t xml:space="preserve">jë numër i konsiderueshëm i njësive të cilat u zgjodhën në </w:t>
                  </w:r>
                  <w:r w:rsidR="003F2797" w:rsidRPr="003F7852">
                    <w:rPr>
                      <w:rFonts w:ascii="Times New Roman" w:eastAsia="Times New Roman" w:hAnsi="Times New Roman" w:cs="Times New Roman"/>
                      <w:noProof/>
                      <w:color w:val="000000"/>
                      <w:sz w:val="24"/>
                      <w:szCs w:val="24"/>
                      <w:lang w:val="sq-AL" w:eastAsia="sq-AL"/>
                    </w:rPr>
                    <w:t>kampionin</w:t>
                  </w:r>
                  <w:r w:rsidRPr="003F7852">
                    <w:rPr>
                      <w:rFonts w:ascii="Times New Roman" w:eastAsia="Times New Roman" w:hAnsi="Times New Roman" w:cs="Times New Roman"/>
                      <w:noProof/>
                      <w:color w:val="000000"/>
                      <w:sz w:val="24"/>
                      <w:szCs w:val="24"/>
                      <w:lang w:val="sq-AL" w:eastAsia="sq-AL"/>
                    </w:rPr>
                    <w:t xml:space="preserve"> fillestar</w:t>
                  </w:r>
                  <w:r w:rsidR="003F2797" w:rsidRPr="003F7852">
                    <w:rPr>
                      <w:rFonts w:ascii="Times New Roman" w:eastAsia="Times New Roman" w:hAnsi="Times New Roman" w:cs="Times New Roman"/>
                      <w:noProof/>
                      <w:color w:val="000000"/>
                      <w:sz w:val="24"/>
                      <w:szCs w:val="24"/>
                      <w:lang w:val="sq-AL" w:eastAsia="sq-AL"/>
                    </w:rPr>
                    <w:t xml:space="preserve"> rezultojnë të jenë të papërshtatshme. K</w:t>
                  </w:r>
                  <w:r w:rsidR="00CC444C" w:rsidRPr="003F7852">
                    <w:rPr>
                      <w:rFonts w:ascii="Times New Roman" w:eastAsia="Times New Roman" w:hAnsi="Times New Roman" w:cs="Times New Roman"/>
                      <w:noProof/>
                      <w:color w:val="000000"/>
                      <w:sz w:val="24"/>
                      <w:szCs w:val="24"/>
                      <w:lang w:val="sq-AL" w:eastAsia="sq-AL"/>
                    </w:rPr>
                    <w:t xml:space="preserve">ëto njësi në terren rezultuan se: </w:t>
                  </w:r>
                  <w:r w:rsidRPr="003F7852">
                    <w:rPr>
                      <w:rFonts w:ascii="Times New Roman" w:eastAsia="Times New Roman" w:hAnsi="Times New Roman" w:cs="Times New Roman"/>
                      <w:noProof/>
                      <w:color w:val="000000"/>
                      <w:sz w:val="24"/>
                      <w:szCs w:val="24"/>
                      <w:lang w:val="sq-AL" w:eastAsia="sq-AL"/>
                    </w:rPr>
                    <w:t xml:space="preserve">ushtronin aktivitete të ndryshme </w:t>
                  </w:r>
                  <w:r w:rsidR="00CC444C" w:rsidRPr="003F7852">
                    <w:rPr>
                      <w:rFonts w:ascii="Times New Roman" w:eastAsia="Times New Roman" w:hAnsi="Times New Roman" w:cs="Times New Roman"/>
                      <w:noProof/>
                      <w:color w:val="000000"/>
                      <w:sz w:val="24"/>
                      <w:szCs w:val="24"/>
                      <w:lang w:val="sq-AL" w:eastAsia="sq-AL"/>
                    </w:rPr>
                    <w:t xml:space="preserve">nga ai i </w:t>
                  </w:r>
                  <w:r w:rsidRPr="003F7852">
                    <w:rPr>
                      <w:rFonts w:ascii="Times New Roman" w:eastAsia="Times New Roman" w:hAnsi="Times New Roman" w:cs="Times New Roman"/>
                      <w:noProof/>
                      <w:color w:val="000000"/>
                      <w:sz w:val="24"/>
                      <w:szCs w:val="24"/>
                      <w:lang w:val="sq-AL" w:eastAsia="sq-AL"/>
                    </w:rPr>
                    <w:t>akomodimit (</w:t>
                  </w:r>
                  <w:r w:rsidR="00CC444C" w:rsidRPr="003F7852">
                    <w:rPr>
                      <w:rFonts w:ascii="Times New Roman" w:eastAsia="Times New Roman" w:hAnsi="Times New Roman" w:cs="Times New Roman"/>
                      <w:noProof/>
                      <w:color w:val="000000"/>
                      <w:sz w:val="24"/>
                      <w:szCs w:val="24"/>
                      <w:lang w:val="sq-AL" w:eastAsia="sq-AL"/>
                    </w:rPr>
                    <w:t xml:space="preserve"> njësi </w:t>
                  </w:r>
                  <w:r w:rsidRPr="003F7852">
                    <w:rPr>
                      <w:rFonts w:ascii="Times New Roman" w:eastAsia="Times New Roman" w:hAnsi="Times New Roman" w:cs="Times New Roman"/>
                      <w:noProof/>
                      <w:color w:val="000000"/>
                      <w:sz w:val="24"/>
                      <w:szCs w:val="24"/>
                      <w:lang w:val="sq-AL" w:eastAsia="sq-AL"/>
                    </w:rPr>
                    <w:t xml:space="preserve">jashtë </w:t>
                  </w:r>
                  <w:r w:rsidR="00CC444C" w:rsidRPr="003F7852">
                    <w:rPr>
                      <w:rFonts w:ascii="Times New Roman" w:eastAsia="Times New Roman" w:hAnsi="Times New Roman" w:cs="Times New Roman"/>
                      <w:noProof/>
                      <w:color w:val="000000"/>
                      <w:sz w:val="24"/>
                      <w:szCs w:val="24"/>
                      <w:lang w:val="sq-AL" w:eastAsia="sq-AL"/>
                    </w:rPr>
                    <w:t>fushe</w:t>
                  </w:r>
                  <w:r w:rsidRPr="003F7852">
                    <w:rPr>
                      <w:rFonts w:ascii="Times New Roman" w:eastAsia="Times New Roman" w:hAnsi="Times New Roman" w:cs="Times New Roman"/>
                      <w:noProof/>
                      <w:color w:val="000000"/>
                      <w:sz w:val="24"/>
                      <w:szCs w:val="24"/>
                      <w:lang w:val="sq-AL" w:eastAsia="sq-AL"/>
                    </w:rPr>
                    <w:t xml:space="preserve">); ishin të mbyllura; ishte e pamundur të gjesh njësinë </w:t>
                  </w:r>
                  <w:r w:rsidR="00CC444C" w:rsidRPr="003F7852">
                    <w:rPr>
                      <w:rFonts w:ascii="Times New Roman" w:eastAsia="Times New Roman" w:hAnsi="Times New Roman" w:cs="Times New Roman"/>
                      <w:noProof/>
                      <w:color w:val="000000"/>
                      <w:sz w:val="24"/>
                      <w:szCs w:val="24"/>
                      <w:lang w:val="sq-AL" w:eastAsia="sq-AL"/>
                    </w:rPr>
                    <w:t>sipas</w:t>
                  </w:r>
                  <w:r w:rsidRPr="003F7852">
                    <w:rPr>
                      <w:rFonts w:ascii="Times New Roman" w:eastAsia="Times New Roman" w:hAnsi="Times New Roman" w:cs="Times New Roman"/>
                      <w:noProof/>
                      <w:color w:val="000000"/>
                      <w:sz w:val="24"/>
                      <w:szCs w:val="24"/>
                      <w:lang w:val="sq-AL" w:eastAsia="sq-AL"/>
                    </w:rPr>
                    <w:t xml:space="preserve"> adres</w:t>
                  </w:r>
                  <w:r w:rsidR="00CC444C" w:rsidRPr="003F7852">
                    <w:rPr>
                      <w:rFonts w:ascii="Times New Roman" w:eastAsia="Times New Roman" w:hAnsi="Times New Roman" w:cs="Times New Roman"/>
                      <w:noProof/>
                      <w:color w:val="000000"/>
                      <w:sz w:val="24"/>
                      <w:szCs w:val="24"/>
                      <w:lang w:val="sq-AL" w:eastAsia="sq-AL"/>
                    </w:rPr>
                    <w:t>ës</w:t>
                  </w:r>
                  <w:r w:rsidRPr="003F7852">
                    <w:rPr>
                      <w:rFonts w:ascii="Times New Roman" w:eastAsia="Times New Roman" w:hAnsi="Times New Roman" w:cs="Times New Roman"/>
                      <w:noProof/>
                      <w:color w:val="000000"/>
                      <w:sz w:val="24"/>
                      <w:szCs w:val="24"/>
                      <w:lang w:val="sq-AL" w:eastAsia="sq-AL"/>
                    </w:rPr>
                    <w:t xml:space="preserve"> në Regjistrin Statistikor të Biznesit (</w:t>
                  </w:r>
                  <w:r w:rsidR="00CC444C" w:rsidRPr="003F7852">
                    <w:rPr>
                      <w:rFonts w:ascii="Times New Roman" w:eastAsia="Times New Roman" w:hAnsi="Times New Roman" w:cs="Times New Roman"/>
                      <w:noProof/>
                      <w:color w:val="000000"/>
                      <w:sz w:val="24"/>
                      <w:szCs w:val="24"/>
                      <w:lang w:val="sq-AL" w:eastAsia="sq-AL"/>
                    </w:rPr>
                    <w:t>njësi pa kontakt</w:t>
                  </w:r>
                  <w:r w:rsidRPr="003F7852">
                    <w:rPr>
                      <w:rFonts w:ascii="Times New Roman" w:eastAsia="Times New Roman" w:hAnsi="Times New Roman" w:cs="Times New Roman"/>
                      <w:noProof/>
                      <w:color w:val="000000"/>
                      <w:sz w:val="24"/>
                      <w:szCs w:val="24"/>
                      <w:lang w:val="sq-AL" w:eastAsia="sq-AL"/>
                    </w:rPr>
                    <w:t xml:space="preserve">). </w:t>
                  </w:r>
                </w:p>
                <w:p w14:paraId="56A86B92" w14:textId="03C623CD" w:rsidR="00851C1F" w:rsidRPr="003F7852" w:rsidRDefault="00851C1F" w:rsidP="00494E28">
                  <w:pPr>
                    <w:spacing w:line="276" w:lineRule="auto"/>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Gjatë analizës së të dhënave</w:t>
                  </w:r>
                  <w:r w:rsidR="00494E28">
                    <w:rPr>
                      <w:rFonts w:ascii="Times New Roman" w:eastAsia="Times New Roman" w:hAnsi="Times New Roman" w:cs="Times New Roman"/>
                      <w:noProof/>
                      <w:color w:val="000000"/>
                      <w:sz w:val="24"/>
                      <w:szCs w:val="24"/>
                      <w:lang w:val="sq-AL" w:eastAsia="sq-AL"/>
                    </w:rPr>
                    <w:t>,</w:t>
                  </w:r>
                  <w:r w:rsidRPr="003F7852">
                    <w:rPr>
                      <w:rFonts w:ascii="Times New Roman" w:eastAsia="Times New Roman" w:hAnsi="Times New Roman" w:cs="Times New Roman"/>
                      <w:noProof/>
                      <w:color w:val="000000"/>
                      <w:sz w:val="24"/>
                      <w:szCs w:val="24"/>
                      <w:lang w:val="sq-AL" w:eastAsia="sq-AL"/>
                    </w:rPr>
                    <w:t xml:space="preserve"> njësitë </w:t>
                  </w:r>
                  <w:r w:rsidR="0003619E">
                    <w:rPr>
                      <w:rFonts w:ascii="Times New Roman" w:eastAsia="Times New Roman" w:hAnsi="Times New Roman" w:cs="Times New Roman"/>
                      <w:noProof/>
                      <w:color w:val="000000"/>
                      <w:sz w:val="24"/>
                      <w:szCs w:val="24"/>
                      <w:lang w:val="sq-AL" w:eastAsia="sq-AL"/>
                    </w:rPr>
                    <w:t>jashtë qëllimit të anketës</w:t>
                  </w:r>
                  <w:r w:rsidRPr="003F7852">
                    <w:rPr>
                      <w:rFonts w:ascii="Times New Roman" w:eastAsia="Times New Roman" w:hAnsi="Times New Roman" w:cs="Times New Roman"/>
                      <w:noProof/>
                      <w:color w:val="000000"/>
                      <w:sz w:val="24"/>
                      <w:szCs w:val="24"/>
                      <w:lang w:val="sq-AL" w:eastAsia="sq-AL"/>
                    </w:rPr>
                    <w:t xml:space="preserve"> trajtohen si më poshtë:</w:t>
                  </w:r>
                </w:p>
                <w:p w14:paraId="16339D8D" w14:textId="77777777" w:rsidR="00851C1F" w:rsidRPr="003F7852" w:rsidRDefault="003F2797" w:rsidP="00494E28">
                  <w:pPr>
                    <w:pStyle w:val="ListParagraph"/>
                    <w:numPr>
                      <w:ilvl w:val="0"/>
                      <w:numId w:val="43"/>
                    </w:numPr>
                    <w:spacing w:after="200" w:line="276" w:lineRule="auto"/>
                    <w:rPr>
                      <w:noProof/>
                      <w:color w:val="000000"/>
                      <w:lang w:val="sq-AL" w:eastAsia="sq-AL"/>
                    </w:rPr>
                  </w:pPr>
                  <w:r w:rsidRPr="003F7852">
                    <w:rPr>
                      <w:noProof/>
                      <w:color w:val="000000"/>
                      <w:lang w:val="sq-AL" w:eastAsia="sq-AL"/>
                    </w:rPr>
                    <w:t>pa kontaktet ose nuk gjendet adresa</w:t>
                  </w:r>
                  <w:r w:rsidR="00851C1F" w:rsidRPr="003F7852">
                    <w:rPr>
                      <w:noProof/>
                      <w:color w:val="000000"/>
                      <w:lang w:val="sq-AL" w:eastAsia="sq-AL"/>
                    </w:rPr>
                    <w:t xml:space="preserve"> </w:t>
                  </w:r>
                  <w:r w:rsidRPr="003F7852">
                    <w:rPr>
                      <w:noProof/>
                      <w:color w:val="000000"/>
                      <w:lang w:val="sq-AL" w:eastAsia="sq-AL"/>
                    </w:rPr>
                    <w:t>trajtohen si refuzim (imputohen ose kompensohen me pesha</w:t>
                  </w:r>
                  <w:r w:rsidR="00851C1F" w:rsidRPr="003F7852">
                    <w:rPr>
                      <w:noProof/>
                      <w:color w:val="000000"/>
                      <w:lang w:val="sq-AL" w:eastAsia="sq-AL"/>
                    </w:rPr>
                    <w:t>);</w:t>
                  </w:r>
                </w:p>
                <w:p w14:paraId="552FF812" w14:textId="77777777" w:rsidR="00494E28" w:rsidRDefault="00851C1F" w:rsidP="00494E28">
                  <w:pPr>
                    <w:pStyle w:val="ListParagraph"/>
                    <w:numPr>
                      <w:ilvl w:val="0"/>
                      <w:numId w:val="43"/>
                    </w:numPr>
                    <w:spacing w:line="276" w:lineRule="auto"/>
                    <w:rPr>
                      <w:noProof/>
                      <w:color w:val="000000"/>
                      <w:lang w:val="sq-AL" w:eastAsia="sq-AL"/>
                    </w:rPr>
                  </w:pPr>
                  <w:r w:rsidRPr="003F7852">
                    <w:rPr>
                      <w:noProof/>
                      <w:color w:val="000000"/>
                      <w:lang w:val="sq-AL" w:eastAsia="sq-AL"/>
                    </w:rPr>
                    <w:t>jashtë fush</w:t>
                  </w:r>
                  <w:r w:rsidR="003F2797" w:rsidRPr="003F7852">
                    <w:rPr>
                      <w:noProof/>
                      <w:color w:val="000000"/>
                      <w:lang w:val="sq-AL" w:eastAsia="sq-AL"/>
                    </w:rPr>
                    <w:t>e</w:t>
                  </w:r>
                  <w:r w:rsidR="00CC444C" w:rsidRPr="003F7852">
                    <w:rPr>
                      <w:noProof/>
                      <w:color w:val="000000"/>
                      <w:lang w:val="sq-AL" w:eastAsia="sq-AL"/>
                    </w:rPr>
                    <w:t xml:space="preserve"> </w:t>
                  </w:r>
                  <w:r w:rsidRPr="003F7852">
                    <w:rPr>
                      <w:noProof/>
                      <w:color w:val="000000"/>
                      <w:lang w:val="sq-AL" w:eastAsia="sq-AL"/>
                    </w:rPr>
                    <w:t xml:space="preserve">dhe njësitë e mbyllura përjashtohen (fshihen) si nga </w:t>
                  </w:r>
                  <w:r w:rsidR="003F2797" w:rsidRPr="003F7852">
                    <w:rPr>
                      <w:noProof/>
                      <w:color w:val="000000"/>
                      <w:lang w:val="sq-AL" w:eastAsia="sq-AL"/>
                    </w:rPr>
                    <w:t>kampioni ashtu edhe nga Lista e ndërmarrjeve të synuara</w:t>
                  </w:r>
                  <w:r w:rsidRPr="003F7852">
                    <w:rPr>
                      <w:noProof/>
                      <w:color w:val="000000"/>
                      <w:lang w:val="sq-AL" w:eastAsia="sq-AL"/>
                    </w:rPr>
                    <w:t>;</w:t>
                  </w:r>
                </w:p>
                <w:p w14:paraId="2C4CC02E" w14:textId="77777777" w:rsidR="00494E28" w:rsidRPr="00494E28" w:rsidRDefault="00EE46D0" w:rsidP="00494E28">
                  <w:pPr>
                    <w:spacing w:line="276" w:lineRule="auto"/>
                    <w:jc w:val="both"/>
                    <w:rPr>
                      <w:noProof/>
                      <w:color w:val="000000"/>
                      <w:lang w:val="sq-AL" w:eastAsia="sq-AL"/>
                    </w:rPr>
                  </w:pPr>
                  <w:r>
                    <w:rPr>
                      <w:rFonts w:ascii="Times New Roman" w:eastAsia="Times New Roman" w:hAnsi="Times New Roman" w:cs="Times New Roman"/>
                      <w:noProof/>
                      <w:color w:val="000000"/>
                      <w:sz w:val="24"/>
                      <w:szCs w:val="24"/>
                      <w:lang w:val="sq-AL" w:eastAsia="sq-AL"/>
                    </w:rPr>
                    <w:t>R</w:t>
                  </w:r>
                  <w:r w:rsidR="00494E28">
                    <w:rPr>
                      <w:rFonts w:ascii="Times New Roman" w:eastAsia="Times New Roman" w:hAnsi="Times New Roman" w:cs="Times New Roman"/>
                      <w:noProof/>
                      <w:color w:val="000000"/>
                      <w:sz w:val="24"/>
                      <w:szCs w:val="24"/>
                      <w:lang w:val="sq-AL" w:eastAsia="sq-AL"/>
                    </w:rPr>
                    <w:t>ezulton se ky problem</w:t>
                  </w:r>
                  <w:r w:rsidR="00494E28" w:rsidRPr="00494E28">
                    <w:rPr>
                      <w:rFonts w:ascii="Times New Roman" w:eastAsia="Times New Roman" w:hAnsi="Times New Roman" w:cs="Times New Roman"/>
                      <w:noProof/>
                      <w:color w:val="000000"/>
                      <w:sz w:val="24"/>
                      <w:szCs w:val="24"/>
                      <w:lang w:val="sq-AL" w:eastAsia="sq-AL"/>
                    </w:rPr>
                    <w:t xml:space="preserve"> </w:t>
                  </w:r>
                  <w:r w:rsidR="00494E28">
                    <w:rPr>
                      <w:rFonts w:ascii="Times New Roman" w:eastAsia="Times New Roman" w:hAnsi="Times New Roman" w:cs="Times New Roman"/>
                      <w:noProof/>
                      <w:color w:val="000000"/>
                      <w:sz w:val="24"/>
                      <w:szCs w:val="24"/>
                      <w:lang w:val="sq-AL" w:eastAsia="sq-AL"/>
                    </w:rPr>
                    <w:t xml:space="preserve">është prezent </w:t>
                  </w:r>
                  <w:r w:rsidR="00494E28" w:rsidRPr="00494E28">
                    <w:rPr>
                      <w:rFonts w:ascii="Times New Roman" w:eastAsia="Times New Roman" w:hAnsi="Times New Roman" w:cs="Times New Roman"/>
                      <w:noProof/>
                      <w:color w:val="000000"/>
                      <w:sz w:val="24"/>
                      <w:szCs w:val="24"/>
                      <w:lang w:val="sq-AL" w:eastAsia="sq-AL"/>
                    </w:rPr>
                    <w:t>në ndërmarrjet e vogla.</w:t>
                  </w:r>
                </w:p>
              </w:tc>
            </w:tr>
            <w:tr w:rsidR="00E0342D" w:rsidRPr="003F7852" w14:paraId="10C1A6CA" w14:textId="77777777" w:rsidTr="00851C1F">
              <w:tc>
                <w:tcPr>
                  <w:tcW w:w="2250" w:type="dxa"/>
                  <w:vAlign w:val="center"/>
                  <w:hideMark/>
                </w:tcPr>
                <w:p w14:paraId="0CC7AF79" w14:textId="77777777" w:rsidR="00E0342D" w:rsidRPr="003F7852" w:rsidRDefault="00E0342D" w:rsidP="006E67C0">
                  <w:pPr>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 xml:space="preserve">11.2.3 </w:t>
                  </w:r>
                  <w:r w:rsidRPr="003F7852">
                    <w:rPr>
                      <w:rFonts w:ascii="Times New Roman" w:eastAsia="Times New Roman" w:hAnsi="Times New Roman" w:cs="Times New Roman"/>
                      <w:noProof/>
                      <w:color w:val="000000"/>
                      <w:sz w:val="24"/>
                      <w:szCs w:val="24"/>
                      <w:lang w:val="sq-AL" w:eastAsia="sq-AL"/>
                    </w:rPr>
                    <w:t>Përmirësimet e cilësisë krahasuar me vitin e kaluar të referencës</w:t>
                  </w:r>
                </w:p>
              </w:tc>
              <w:tc>
                <w:tcPr>
                  <w:tcW w:w="5688" w:type="dxa"/>
                  <w:hideMark/>
                </w:tcPr>
                <w:p w14:paraId="63A374B8" w14:textId="77777777" w:rsidR="00E0342D" w:rsidRPr="003F7852" w:rsidRDefault="00E0342D" w:rsidP="00E0342D">
                  <w:pPr>
                    <w:rPr>
                      <w:rFonts w:ascii="Times New Roman" w:eastAsia="Times New Roman" w:hAnsi="Times New Roman" w:cs="Times New Roman"/>
                      <w:sz w:val="24"/>
                      <w:szCs w:val="24"/>
                      <w:lang w:val="sq-AL"/>
                    </w:rPr>
                  </w:pPr>
                </w:p>
              </w:tc>
            </w:tr>
          </w:tbl>
          <w:p w14:paraId="70285518"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p>
        </w:tc>
      </w:tr>
      <w:tr w:rsidR="00735EC3" w:rsidRPr="003F7852" w14:paraId="284A046D" w14:textId="77777777" w:rsidTr="00C50933">
        <w:trPr>
          <w:trHeight w:val="567"/>
        </w:trPr>
        <w:tc>
          <w:tcPr>
            <w:tcW w:w="10682" w:type="dxa"/>
            <w:gridSpan w:val="2"/>
            <w:shd w:val="clear" w:color="auto" w:fill="FBD4B4" w:themeFill="accent6" w:themeFillTint="66"/>
            <w:noWrap/>
            <w:vAlign w:val="center"/>
            <w:hideMark/>
          </w:tcPr>
          <w:p w14:paraId="242B32D6" w14:textId="77777777" w:rsidR="00735EC3" w:rsidRPr="003F7852" w:rsidRDefault="00735EC3"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69204585"/>
            <w:r w:rsidRPr="003F7852">
              <w:rPr>
                <w:rFonts w:ascii="Times New Roman" w:eastAsia="Times New Roman" w:hAnsi="Times New Roman" w:cs="Times New Roman"/>
                <w:noProof/>
                <w:color w:val="000000"/>
                <w:sz w:val="24"/>
                <w:szCs w:val="24"/>
                <w:lang w:val="sq-AL" w:eastAsia="sq-AL"/>
              </w:rPr>
              <w:t>12</w:t>
            </w:r>
            <w:r w:rsidRPr="003F7852">
              <w:rPr>
                <w:rFonts w:ascii="Times New Roman" w:eastAsia="Times New Roman" w:hAnsi="Times New Roman" w:cs="Times New Roman"/>
                <w:b w:val="0"/>
                <w:bCs w:val="0"/>
                <w:noProof/>
                <w:color w:val="000000"/>
                <w:sz w:val="24"/>
                <w:szCs w:val="24"/>
                <w:lang w:val="sq-AL" w:eastAsia="sq-AL"/>
              </w:rPr>
              <w:t xml:space="preserve">. </w:t>
            </w:r>
            <w:r w:rsidRPr="003F7852">
              <w:rPr>
                <w:rFonts w:ascii="Times New Roman" w:eastAsia="Times New Roman" w:hAnsi="Times New Roman" w:cs="Times New Roman"/>
                <w:noProof/>
                <w:color w:val="000000" w:themeColor="text1"/>
                <w:sz w:val="24"/>
                <w:szCs w:val="24"/>
                <w:lang w:val="sq-AL" w:eastAsia="sq-AL"/>
              </w:rPr>
              <w:t>Rëndësia</w:t>
            </w:r>
            <w:bookmarkEnd w:id="12"/>
          </w:p>
        </w:tc>
      </w:tr>
      <w:tr w:rsidR="00E43898" w:rsidRPr="003F7852" w14:paraId="2571506D" w14:textId="77777777" w:rsidTr="00C50933">
        <w:trPr>
          <w:trHeight w:val="567"/>
        </w:trPr>
        <w:tc>
          <w:tcPr>
            <w:tcW w:w="2518" w:type="dxa"/>
            <w:shd w:val="clear" w:color="auto" w:fill="FFFFCC"/>
            <w:noWrap/>
            <w:vAlign w:val="center"/>
            <w:hideMark/>
          </w:tcPr>
          <w:p w14:paraId="3A98846B"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12.1. Nevojat e përdoruesit</w:t>
            </w:r>
          </w:p>
        </w:tc>
        <w:tc>
          <w:tcPr>
            <w:tcW w:w="8164" w:type="dxa"/>
            <w:shd w:val="clear" w:color="auto" w:fill="auto"/>
            <w:vAlign w:val="center"/>
          </w:tcPr>
          <w:p w14:paraId="081CC6E7" w14:textId="77777777" w:rsidR="00E0342D" w:rsidRPr="003F7852" w:rsidRDefault="00E0342D" w:rsidP="00E0342D">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2.1.1 Përdoruesit kryesorë në nivel evropian</w:t>
            </w:r>
          </w:p>
          <w:p w14:paraId="53075113" w14:textId="77777777" w:rsidR="00E0342D" w:rsidRPr="003F7852" w:rsidRDefault="00E0342D" w:rsidP="00E0342D">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Shih: </w:t>
            </w:r>
            <w:hyperlink r:id="rId25" w:history="1">
              <w:r w:rsidRPr="003F7852">
                <w:rPr>
                  <w:rStyle w:val="Hyperlink"/>
                  <w:rFonts w:ascii="Times New Roman" w:eastAsia="Times New Roman" w:hAnsi="Times New Roman" w:cs="Times New Roman"/>
                  <w:noProof/>
                  <w:sz w:val="24"/>
                  <w:szCs w:val="24"/>
                  <w:lang w:val="sq-AL" w:eastAsia="sq-AL"/>
                </w:rPr>
                <w:t>Rregullorja 692/2011</w:t>
              </w:r>
            </w:hyperlink>
          </w:p>
          <w:p w14:paraId="5ABE38D7" w14:textId="77777777" w:rsidR="00E0342D" w:rsidRPr="003F7852" w:rsidRDefault="00E0342D" w:rsidP="00E0342D">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12.1.2 Përdoruesit kryesorë në nivel kombëtar</w:t>
            </w:r>
          </w:p>
          <w:p w14:paraId="4E97825F" w14:textId="77777777" w:rsidR="00E43898" w:rsidRPr="003F7852" w:rsidRDefault="00E0342D" w:rsidP="00CC444C">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Përdoruesit kryesorë janë autoritetet kombëtare, institucionet publike dhe agjencitë, media, subjektet kërkimore dhe të biznesit, universitetet, studentët, përdoruesit ndërkombëtarë (</w:t>
            </w:r>
            <w:r w:rsidR="00CC444C" w:rsidRPr="003F7852">
              <w:rPr>
                <w:rFonts w:ascii="Times New Roman" w:eastAsia="Times New Roman" w:hAnsi="Times New Roman" w:cs="Times New Roman"/>
                <w:noProof/>
                <w:color w:val="000000"/>
                <w:sz w:val="24"/>
                <w:szCs w:val="24"/>
                <w:lang w:val="sq-AL" w:eastAsia="sq-AL"/>
              </w:rPr>
              <w:t>EUROSTAT</w:t>
            </w:r>
            <w:r w:rsidRPr="003F7852">
              <w:rPr>
                <w:rFonts w:ascii="Times New Roman" w:eastAsia="Times New Roman" w:hAnsi="Times New Roman" w:cs="Times New Roman"/>
                <w:noProof/>
                <w:color w:val="000000"/>
                <w:sz w:val="24"/>
                <w:szCs w:val="24"/>
                <w:lang w:val="sq-AL" w:eastAsia="sq-AL"/>
              </w:rPr>
              <w:t>, UNWTO, OECD). Përfaqësuesit e përdoruesve kryesorë të të dhënave statistikore janë anëtarë të Këshillit të Statistikave. Roli kryesor i Këshillit është të përmbushë nevojat e gamës më të gjerë të përdoruesve.</w:t>
            </w:r>
          </w:p>
        </w:tc>
      </w:tr>
      <w:tr w:rsidR="00B15F7B" w:rsidRPr="003F7852" w14:paraId="0DA46D90" w14:textId="77777777" w:rsidTr="00DB66EC">
        <w:trPr>
          <w:trHeight w:val="1655"/>
        </w:trPr>
        <w:tc>
          <w:tcPr>
            <w:tcW w:w="2518" w:type="dxa"/>
            <w:shd w:val="clear" w:color="auto" w:fill="FFFFCC"/>
            <w:noWrap/>
            <w:vAlign w:val="center"/>
            <w:hideMark/>
          </w:tcPr>
          <w:p w14:paraId="07273E3E" w14:textId="77777777" w:rsidR="00F32733" w:rsidRPr="003F7852" w:rsidRDefault="00F32733"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12.2. Kënaqësia e përdoruesit</w:t>
            </w:r>
          </w:p>
        </w:tc>
        <w:tc>
          <w:tcPr>
            <w:tcW w:w="8164" w:type="dxa"/>
            <w:shd w:val="clear" w:color="auto" w:fill="auto"/>
            <w:noWrap/>
            <w:vAlign w:val="center"/>
            <w:hideMark/>
          </w:tcPr>
          <w:p w14:paraId="078B7F6F" w14:textId="522DC575" w:rsidR="00F32733" w:rsidRPr="003F7852" w:rsidRDefault="000C62D2" w:rsidP="00DB66EC">
            <w:pPr>
              <w:spacing w:before="200"/>
              <w:jc w:val="both"/>
              <w:rPr>
                <w:rFonts w:ascii="Times New Roman" w:eastAsia="Times New Roman" w:hAnsi="Times New Roman" w:cs="Times New Roman"/>
                <w:noProof/>
                <w:color w:val="000000"/>
                <w:sz w:val="24"/>
                <w:szCs w:val="24"/>
                <w:lang w:val="sq-AL" w:eastAsia="sq-AL"/>
              </w:rPr>
            </w:pPr>
            <w:r w:rsidRPr="000C62D2">
              <w:rPr>
                <w:rFonts w:ascii="Times New Roman" w:eastAsia="Times New Roman" w:hAnsi="Times New Roman" w:cs="Times New Roman"/>
                <w:noProof/>
                <w:color w:val="000000"/>
                <w:sz w:val="24"/>
                <w:szCs w:val="24"/>
                <w:lang w:val="sq-AL" w:eastAsia="sq-AL"/>
              </w:rPr>
              <w:t xml:space="preserve">Niveli i përgjithshëm i kënaqësisë i INSTAT në vitin 2020 është 3.87 ose i shprehur në përqindje, rreth 77,3% </w:t>
            </w:r>
            <w:r w:rsidR="00E0342D" w:rsidRPr="000C62D2">
              <w:rPr>
                <w:rFonts w:ascii="Times New Roman" w:eastAsia="Times New Roman" w:hAnsi="Times New Roman" w:cs="Times New Roman"/>
                <w:noProof/>
                <w:color w:val="000000"/>
                <w:sz w:val="24"/>
                <w:szCs w:val="24"/>
                <w:lang w:val="sq-AL" w:eastAsia="sq-AL"/>
              </w:rPr>
              <w:t xml:space="preserve">në një shkallë nga 1 (shumë e dobët) në 5 (shumë e mirë). Për "Anketën e Strukturave Akomoduese" nuk </w:t>
            </w:r>
            <w:r w:rsidRPr="000C62D2">
              <w:rPr>
                <w:rFonts w:ascii="Times New Roman" w:eastAsia="Times New Roman" w:hAnsi="Times New Roman" w:cs="Times New Roman"/>
                <w:noProof/>
                <w:color w:val="000000"/>
                <w:sz w:val="24"/>
                <w:szCs w:val="24"/>
                <w:lang w:val="sq-AL" w:eastAsia="sq-AL"/>
              </w:rPr>
              <w:t xml:space="preserve">është </w:t>
            </w:r>
            <w:r w:rsidR="00E0342D" w:rsidRPr="000C62D2">
              <w:rPr>
                <w:rFonts w:ascii="Times New Roman" w:eastAsia="Times New Roman" w:hAnsi="Times New Roman" w:cs="Times New Roman"/>
                <w:noProof/>
                <w:color w:val="000000"/>
                <w:sz w:val="24"/>
                <w:szCs w:val="24"/>
                <w:lang w:val="sq-AL" w:eastAsia="sq-AL"/>
              </w:rPr>
              <w:t>aplik</w:t>
            </w:r>
            <w:r w:rsidRPr="000C62D2">
              <w:rPr>
                <w:rFonts w:ascii="Times New Roman" w:eastAsia="Times New Roman" w:hAnsi="Times New Roman" w:cs="Times New Roman"/>
                <w:noProof/>
                <w:color w:val="000000"/>
                <w:sz w:val="24"/>
                <w:szCs w:val="24"/>
                <w:lang w:val="sq-AL" w:eastAsia="sq-AL"/>
              </w:rPr>
              <w:t>uar gjatë 2020</w:t>
            </w:r>
            <w:r w:rsidR="00E0342D" w:rsidRPr="000C62D2">
              <w:rPr>
                <w:rFonts w:ascii="Times New Roman" w:eastAsia="Times New Roman" w:hAnsi="Times New Roman" w:cs="Times New Roman"/>
                <w:noProof/>
                <w:color w:val="000000"/>
                <w:sz w:val="24"/>
                <w:szCs w:val="24"/>
                <w:lang w:val="sq-AL" w:eastAsia="sq-AL"/>
              </w:rPr>
              <w:t>.</w:t>
            </w:r>
          </w:p>
        </w:tc>
      </w:tr>
      <w:tr w:rsidR="00E43898" w:rsidRPr="003F7852" w14:paraId="44BAAE42" w14:textId="77777777" w:rsidTr="00DB66EC">
        <w:trPr>
          <w:trHeight w:val="6659"/>
        </w:trPr>
        <w:tc>
          <w:tcPr>
            <w:tcW w:w="2518" w:type="dxa"/>
            <w:shd w:val="clear" w:color="auto" w:fill="FFFFCC"/>
            <w:noWrap/>
            <w:vAlign w:val="center"/>
            <w:hideMark/>
          </w:tcPr>
          <w:p w14:paraId="780BF58A" w14:textId="77777777" w:rsidR="00F32733" w:rsidRPr="003F7852" w:rsidRDefault="00F32733"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12.3. Plotshmëria</w:t>
            </w:r>
          </w:p>
        </w:tc>
        <w:tc>
          <w:tcPr>
            <w:tcW w:w="8164" w:type="dxa"/>
            <w:shd w:val="clear" w:color="auto" w:fill="auto"/>
            <w:noWrap/>
            <w:vAlign w:val="center"/>
            <w:hideMark/>
          </w:tcPr>
          <w:tbl>
            <w:tblPr>
              <w:tblStyle w:val="TableGrid"/>
              <w:tblW w:w="0" w:type="auto"/>
              <w:tblLayout w:type="fixed"/>
              <w:tblLook w:val="04A0" w:firstRow="1" w:lastRow="0" w:firstColumn="1" w:lastColumn="0" w:noHBand="0" w:noVBand="1"/>
            </w:tblPr>
            <w:tblGrid>
              <w:gridCol w:w="8071"/>
            </w:tblGrid>
            <w:tr w:rsidR="00D6049F" w:rsidRPr="003F7852" w14:paraId="7CC7022E" w14:textId="77777777" w:rsidTr="006E67C0">
              <w:trPr>
                <w:trHeight w:val="4301"/>
              </w:trPr>
              <w:tc>
                <w:tcPr>
                  <w:tcW w:w="8071" w:type="dxa"/>
                  <w:noWrap/>
                  <w:hideMark/>
                </w:tcPr>
                <w:p w14:paraId="7DD7B33A" w14:textId="77777777" w:rsidR="00D6049F" w:rsidRPr="003F7852" w:rsidRDefault="00D6049F" w:rsidP="00A57178">
                  <w:pPr>
                    <w:spacing w:before="240" w:after="30"/>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b/>
                      <w:bCs/>
                      <w:color w:val="000000"/>
                      <w:sz w:val="24"/>
                      <w:szCs w:val="24"/>
                      <w:lang w:val="sq-AL"/>
                    </w:rPr>
                    <w:t>12.3.1 Plotshmëria</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46"/>
                    <w:gridCol w:w="5499"/>
                  </w:tblGrid>
                  <w:tr w:rsidR="00D6049F" w:rsidRPr="003F7852" w14:paraId="720A6C95" w14:textId="77777777" w:rsidTr="006E67C0">
                    <w:tc>
                      <w:tcPr>
                        <w:tcW w:w="2434" w:type="dxa"/>
                        <w:vAlign w:val="center"/>
                        <w:hideMark/>
                      </w:tcPr>
                      <w:p w14:paraId="5703C143" w14:textId="77777777" w:rsidR="00D6049F" w:rsidRPr="003F7852" w:rsidRDefault="00D6049F" w:rsidP="006E67C0">
                        <w:pPr>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12.3.1.1 Plotshmëria</w:t>
                        </w:r>
                      </w:p>
                    </w:tc>
                    <w:tc>
                      <w:tcPr>
                        <w:tcW w:w="5720" w:type="dxa"/>
                        <w:vAlign w:val="center"/>
                        <w:hideMark/>
                      </w:tcPr>
                      <w:p w14:paraId="461A17A8" w14:textId="77777777" w:rsidR="00D6049F" w:rsidRPr="003F7852" w:rsidRDefault="00D6049F" w:rsidP="00CC444C">
                        <w:pPr>
                          <w:spacing w:before="240" w:after="200" w:line="276" w:lineRule="auto"/>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Pjesërisht në përputhje me kërkesat e Rregullores mbi statistikat e turizmit 692/2011 si dhe rekomandimet e përcaktuara në Manualin Metodologjik për statistikat e turizmit.</w:t>
                        </w:r>
                      </w:p>
                    </w:tc>
                  </w:tr>
                  <w:tr w:rsidR="00D6049F" w:rsidRPr="003F7852" w14:paraId="1CF86B79" w14:textId="77777777" w:rsidTr="006E67C0">
                    <w:tc>
                      <w:tcPr>
                        <w:tcW w:w="2434" w:type="dxa"/>
                        <w:vAlign w:val="center"/>
                        <w:hideMark/>
                      </w:tcPr>
                      <w:p w14:paraId="14F48731" w14:textId="4E4398C6" w:rsidR="00D6049F" w:rsidRPr="003F7852" w:rsidRDefault="00D6049F" w:rsidP="00CC444C">
                        <w:pPr>
                          <w:spacing w:line="276" w:lineRule="auto"/>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12.3.1.2 Nëse nuk është i plotë, ju lutemi specifikoni pse dhe renditni devijimet nga Rr</w:t>
                        </w:r>
                        <w:r w:rsidR="00DB66EC">
                          <w:rPr>
                            <w:rFonts w:ascii="Times New Roman" w:eastAsia="Times New Roman" w:hAnsi="Times New Roman" w:cs="Times New Roman"/>
                            <w:sz w:val="24"/>
                            <w:szCs w:val="24"/>
                            <w:lang w:val="sq-AL"/>
                          </w:rPr>
                          <w:t>e</w:t>
                        </w:r>
                        <w:r w:rsidRPr="003F7852">
                          <w:rPr>
                            <w:rFonts w:ascii="Times New Roman" w:eastAsia="Times New Roman" w:hAnsi="Times New Roman" w:cs="Times New Roman"/>
                            <w:sz w:val="24"/>
                            <w:szCs w:val="24"/>
                            <w:lang w:val="sq-AL"/>
                          </w:rPr>
                          <w:t>gullorja</w:t>
                        </w:r>
                      </w:p>
                    </w:tc>
                    <w:tc>
                      <w:tcPr>
                        <w:tcW w:w="5720" w:type="dxa"/>
                        <w:vAlign w:val="center"/>
                        <w:hideMark/>
                      </w:tcPr>
                      <w:p w14:paraId="1DADA66A" w14:textId="3B7522EF" w:rsidR="009B6299" w:rsidRPr="0003619E" w:rsidRDefault="00D6049F" w:rsidP="0003619E">
                        <w:pPr>
                          <w:pStyle w:val="ListParagraph"/>
                          <w:numPr>
                            <w:ilvl w:val="0"/>
                            <w:numId w:val="38"/>
                          </w:numPr>
                          <w:spacing w:line="276" w:lineRule="auto"/>
                          <w:jc w:val="both"/>
                          <w:rPr>
                            <w:lang w:val="sq-AL"/>
                          </w:rPr>
                        </w:pPr>
                        <w:r w:rsidRPr="003F7852">
                          <w:rPr>
                            <w:noProof/>
                            <w:color w:val="000000"/>
                            <w:lang w:val="sq-AL" w:eastAsia="sq-AL"/>
                          </w:rPr>
                          <w:t>Metodologjia e përdorur për mbledhjen e të dhënave nuk është plotësisht në përputhje me rregulloren.</w:t>
                        </w:r>
                        <w:r w:rsidR="0003619E">
                          <w:rPr>
                            <w:noProof/>
                            <w:color w:val="000000"/>
                            <w:lang w:val="sq-AL" w:eastAsia="sq-AL"/>
                          </w:rPr>
                          <w:t xml:space="preserve"> </w:t>
                        </w:r>
                        <w:r w:rsidR="009B6299" w:rsidRPr="0003619E">
                          <w:rPr>
                            <w:lang w:val="sq-AL"/>
                          </w:rPr>
                          <w:t>Kampioni është dizajnuar duke përdorur numrin e punonjësve për stratat, si tregues i kapacitetit, si dhe variabel ndihmës në fazën e alokimit të kampionit të strukturave të akomodimit turistik, në vend të numrit të shtretërve siç kërkon rregullorja përkatëse.</w:t>
                        </w:r>
                      </w:p>
                      <w:p w14:paraId="1237107C" w14:textId="77777777" w:rsidR="0003619E" w:rsidRDefault="009B6299" w:rsidP="0003619E">
                        <w:pPr>
                          <w:pStyle w:val="ListParagraph"/>
                          <w:numPr>
                            <w:ilvl w:val="0"/>
                            <w:numId w:val="38"/>
                          </w:numPr>
                          <w:spacing w:line="276" w:lineRule="auto"/>
                          <w:jc w:val="both"/>
                          <w:rPr>
                            <w:lang w:val="sq-AL"/>
                          </w:rPr>
                        </w:pPr>
                        <w:r w:rsidRPr="003F7852">
                          <w:rPr>
                            <w:lang w:val="sq-AL"/>
                          </w:rPr>
                          <w:t xml:space="preserve">Mosdisponueshmëria e një klasifikimi të krahasueshëm DEGURBA. </w:t>
                        </w:r>
                      </w:p>
                      <w:p w14:paraId="3C006DF0" w14:textId="33C97E7F" w:rsidR="003A15FE" w:rsidRPr="003A15FE" w:rsidRDefault="0003619E" w:rsidP="003A15FE">
                        <w:pPr>
                          <w:pStyle w:val="ListParagraph"/>
                          <w:numPr>
                            <w:ilvl w:val="0"/>
                            <w:numId w:val="38"/>
                          </w:numPr>
                          <w:spacing w:line="276" w:lineRule="auto"/>
                          <w:jc w:val="both"/>
                          <w:rPr>
                            <w:lang w:val="sq-AL"/>
                          </w:rPr>
                        </w:pPr>
                        <w:r w:rsidRPr="003F7852">
                          <w:rPr>
                            <w:lang w:val="sq-AL"/>
                          </w:rPr>
                          <w:t>Për shkak të mungesës së informacionit mbi kapacitetin e këtyre institucioneve, nuk ka qenë e mundur të eliminohen njësitë e vogla me më pak se 20 shtretër (ose 20 kampe</w:t>
                        </w:r>
                        <w:r>
                          <w:rPr>
                            <w:lang w:val="sq-AL"/>
                          </w:rPr>
                          <w:t xml:space="preserve"> për kamping</w:t>
                        </w:r>
                        <w:r w:rsidRPr="003F7852">
                          <w:rPr>
                            <w:lang w:val="sq-AL"/>
                          </w:rPr>
                          <w:t>) nga popullata e synuar, të cilat janë opcionale për Rregulloren.</w:t>
                        </w:r>
                      </w:p>
                      <w:p w14:paraId="07A696EB" w14:textId="77777777" w:rsidR="00D6049F" w:rsidRPr="003F7852" w:rsidRDefault="009B6299" w:rsidP="00CC444C">
                        <w:pPr>
                          <w:pStyle w:val="ListParagraph"/>
                          <w:numPr>
                            <w:ilvl w:val="0"/>
                            <w:numId w:val="38"/>
                          </w:numPr>
                          <w:spacing w:line="276" w:lineRule="auto"/>
                          <w:jc w:val="both"/>
                          <w:rPr>
                            <w:lang w:val="sq-AL"/>
                          </w:rPr>
                        </w:pPr>
                        <w:r w:rsidRPr="003F7852">
                          <w:rPr>
                            <w:lang w:val="sq-AL"/>
                          </w:rPr>
                          <w:t xml:space="preserve">Të dhënat nuk transmetohen në kohë, për shkak të periodicitetit të publikimit të INSTAT. Për të arritur transmetimin në kohë, duhet të ndryshohet periodiciteti i publikimit </w:t>
                        </w:r>
                        <w:r w:rsidR="00B2139D" w:rsidRPr="003F7852">
                          <w:rPr>
                            <w:lang w:val="sq-AL"/>
                          </w:rPr>
                          <w:t xml:space="preserve"> zyrtar të INSTAT</w:t>
                        </w:r>
                        <w:r w:rsidRPr="003F7852">
                          <w:rPr>
                            <w:lang w:val="sq-AL"/>
                          </w:rPr>
                          <w:t>.</w:t>
                        </w:r>
                      </w:p>
                    </w:tc>
                  </w:tr>
                </w:tbl>
                <w:p w14:paraId="013FB9FB" w14:textId="77777777" w:rsidR="00D6049F" w:rsidRPr="003F7852" w:rsidRDefault="00D6049F" w:rsidP="00271414">
                  <w:pPr>
                    <w:spacing w:before="100" w:beforeAutospacing="1" w:after="100" w:afterAutospacing="1"/>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b/>
                      <w:bCs/>
                      <w:color w:val="000000"/>
                      <w:sz w:val="24"/>
                      <w:szCs w:val="24"/>
                      <w:lang w:val="sq-AL"/>
                    </w:rPr>
                    <w:t>12.3.2 Threshold</w:t>
                  </w:r>
                  <w:r w:rsidR="00B2139D" w:rsidRPr="003F7852">
                    <w:rPr>
                      <w:rFonts w:ascii="Times New Roman" w:eastAsia="Times New Roman" w:hAnsi="Times New Roman" w:cs="Times New Roman"/>
                      <w:b/>
                      <w:bCs/>
                      <w:color w:val="000000"/>
                      <w:sz w:val="24"/>
                      <w:szCs w:val="24"/>
                      <w:lang w:val="sq-AL"/>
                    </w:rPr>
                    <w:t xml:space="preserve">-et e përdorura </w:t>
                  </w:r>
                  <w:r w:rsidRPr="003F7852">
                    <w:rPr>
                      <w:rFonts w:ascii="Times New Roman" w:eastAsia="Times New Roman" w:hAnsi="Times New Roman" w:cs="Times New Roman"/>
                      <w:b/>
                      <w:bCs/>
                      <w:color w:val="000000"/>
                      <w:sz w:val="24"/>
                      <w:szCs w:val="24"/>
                      <w:lang w:val="sq-AL"/>
                    </w:rPr>
                    <w:t>("</w:t>
                  </w:r>
                  <w:r w:rsidR="00B2139D" w:rsidRPr="003F7852">
                    <w:rPr>
                      <w:rFonts w:ascii="Times New Roman" w:eastAsia="Times New Roman" w:hAnsi="Times New Roman" w:cs="Times New Roman"/>
                      <w:b/>
                      <w:bCs/>
                      <w:color w:val="000000"/>
                      <w:sz w:val="24"/>
                      <w:szCs w:val="24"/>
                      <w:lang w:val="sq-AL"/>
                    </w:rPr>
                    <w:t>kufizimet e qëllimit të vrojtimit</w:t>
                  </w:r>
                  <w:r w:rsidRPr="003F7852">
                    <w:rPr>
                      <w:rFonts w:ascii="Times New Roman" w:eastAsia="Times New Roman" w:hAnsi="Times New Roman" w:cs="Times New Roman"/>
                      <w:b/>
                      <w:bCs/>
                      <w:color w:val="000000"/>
                      <w:sz w:val="24"/>
                      <w:szCs w:val="24"/>
                      <w:lang w:val="sq-AL"/>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327"/>
                    <w:gridCol w:w="4518"/>
                  </w:tblGrid>
                  <w:tr w:rsidR="00D6049F" w:rsidRPr="003F7852" w14:paraId="608695C8" w14:textId="77777777" w:rsidTr="006E67C0">
                    <w:tc>
                      <w:tcPr>
                        <w:tcW w:w="3461" w:type="dxa"/>
                        <w:vAlign w:val="center"/>
                        <w:hideMark/>
                      </w:tcPr>
                      <w:p w14:paraId="04CE8E6E" w14:textId="77777777" w:rsidR="00D6049F" w:rsidRPr="003F7852" w:rsidRDefault="00D6049F" w:rsidP="00EE46D0">
                        <w:pPr>
                          <w:spacing w:line="276" w:lineRule="auto"/>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 xml:space="preserve">12.3.2.1 </w:t>
                        </w:r>
                        <w:r w:rsidR="00B2139D" w:rsidRPr="003F7852">
                          <w:rPr>
                            <w:rFonts w:ascii="Times New Roman" w:eastAsia="Times New Roman" w:hAnsi="Times New Roman" w:cs="Times New Roman"/>
                            <w:noProof/>
                            <w:color w:val="000000"/>
                            <w:sz w:val="24"/>
                            <w:szCs w:val="24"/>
                            <w:lang w:val="sq-AL" w:eastAsia="sq-AL"/>
                          </w:rPr>
                          <w:t xml:space="preserve">Hotele dhe akomodime </w:t>
                        </w:r>
                        <w:r w:rsidR="00B2139D" w:rsidRPr="003F7852">
                          <w:rPr>
                            <w:rFonts w:ascii="Times New Roman" w:eastAsia="Times New Roman" w:hAnsi="Times New Roman" w:cs="Times New Roman"/>
                            <w:noProof/>
                            <w:color w:val="000000"/>
                            <w:sz w:val="24"/>
                            <w:szCs w:val="24"/>
                            <w:lang w:val="sq-AL" w:eastAsia="sq-AL"/>
                          </w:rPr>
                          <w:lastRenderedPageBreak/>
                          <w:t xml:space="preserve">të ngjashme </w:t>
                        </w:r>
                        <w:r w:rsidRPr="003F7852">
                          <w:rPr>
                            <w:rFonts w:ascii="Times New Roman" w:eastAsia="Times New Roman" w:hAnsi="Times New Roman" w:cs="Times New Roman"/>
                            <w:sz w:val="24"/>
                            <w:szCs w:val="24"/>
                            <w:lang w:val="sq-AL"/>
                          </w:rPr>
                          <w:t>(NACE 55.1)</w:t>
                        </w:r>
                      </w:p>
                    </w:tc>
                    <w:tc>
                      <w:tcPr>
                        <w:tcW w:w="4703" w:type="dxa"/>
                        <w:vAlign w:val="center"/>
                        <w:hideMark/>
                      </w:tcPr>
                      <w:p w14:paraId="033AC6F1" w14:textId="77777777" w:rsidR="00B2139D" w:rsidRPr="003F7852" w:rsidRDefault="00B2139D" w:rsidP="00EE46D0">
                        <w:pPr>
                          <w:pStyle w:val="ListParagraph"/>
                          <w:numPr>
                            <w:ilvl w:val="0"/>
                            <w:numId w:val="41"/>
                          </w:numPr>
                          <w:spacing w:after="200" w:line="276" w:lineRule="auto"/>
                          <w:ind w:right="86"/>
                          <w:jc w:val="both"/>
                          <w:rPr>
                            <w:color w:val="000000"/>
                            <w:lang w:val="sq-AL"/>
                          </w:rPr>
                        </w:pPr>
                        <w:r w:rsidRPr="003F7852">
                          <w:rPr>
                            <w:color w:val="000000"/>
                            <w:lang w:val="sq-AL"/>
                          </w:rPr>
                          <w:lastRenderedPageBreak/>
                          <w:t xml:space="preserve">Census për ndërmarrjet me 10 ose më </w:t>
                        </w:r>
                        <w:r w:rsidRPr="003F7852">
                          <w:rPr>
                            <w:color w:val="000000"/>
                            <w:lang w:val="sq-AL"/>
                          </w:rPr>
                          <w:lastRenderedPageBreak/>
                          <w:t>shumë të punësuar;</w:t>
                        </w:r>
                      </w:p>
                      <w:p w14:paraId="00EEB446" w14:textId="77777777" w:rsidR="00D6049F" w:rsidRPr="003F7852" w:rsidRDefault="00B2139D" w:rsidP="00EE46D0">
                        <w:pPr>
                          <w:pStyle w:val="ListParagraph"/>
                          <w:numPr>
                            <w:ilvl w:val="0"/>
                            <w:numId w:val="41"/>
                          </w:numPr>
                          <w:spacing w:line="276" w:lineRule="auto"/>
                          <w:jc w:val="both"/>
                          <w:rPr>
                            <w:color w:val="000000"/>
                            <w:lang w:val="sq-AL"/>
                          </w:rPr>
                        </w:pPr>
                        <w:r w:rsidRPr="003F7852">
                          <w:rPr>
                            <w:color w:val="000000"/>
                            <w:lang w:val="sq-AL"/>
                          </w:rPr>
                          <w:t xml:space="preserve">Për ndërmarrjet e vogla, merret një kampion, duke përdorur shtresimin sipas madhësisë së ndërmarrjes dhe NVE. </w:t>
                        </w:r>
                        <w:r w:rsidRPr="003F7852">
                          <w:rPr>
                            <w:noProof/>
                            <w:color w:val="000000"/>
                            <w:lang w:val="sq-AL" w:eastAsia="sq-AL"/>
                          </w:rPr>
                          <w:t>Sipas Rregullores 692/2011, NACE 55.1, 55.2 dhe 55.3 janë të mbuluara.</w:t>
                        </w:r>
                      </w:p>
                    </w:tc>
                  </w:tr>
                  <w:tr w:rsidR="00D6049F" w:rsidRPr="003F7852" w14:paraId="3D74C57C" w14:textId="77777777" w:rsidTr="006E67C0">
                    <w:tc>
                      <w:tcPr>
                        <w:tcW w:w="3461" w:type="dxa"/>
                        <w:vAlign w:val="center"/>
                        <w:hideMark/>
                      </w:tcPr>
                      <w:p w14:paraId="262D0971" w14:textId="77777777" w:rsidR="00D6049F" w:rsidRPr="003F7852" w:rsidRDefault="00D6049F" w:rsidP="00EE46D0">
                        <w:pPr>
                          <w:spacing w:line="276" w:lineRule="auto"/>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lastRenderedPageBreak/>
                          <w:t>12.3.2.2 </w:t>
                        </w:r>
                        <w:r w:rsidR="00B2139D" w:rsidRPr="003F7852">
                          <w:rPr>
                            <w:rFonts w:ascii="Times New Roman" w:eastAsia="Times New Roman" w:hAnsi="Times New Roman" w:cs="Times New Roman"/>
                            <w:noProof/>
                            <w:color w:val="000000"/>
                            <w:sz w:val="24"/>
                            <w:szCs w:val="24"/>
                            <w:lang w:val="sq-AL" w:eastAsia="sq-AL"/>
                          </w:rPr>
                          <w:t xml:space="preserve">Akomodime për pushime dhe të tjera akomodime afatshkurtra </w:t>
                        </w:r>
                        <w:r w:rsidRPr="003F7852">
                          <w:rPr>
                            <w:rFonts w:ascii="Times New Roman" w:eastAsia="Times New Roman" w:hAnsi="Times New Roman" w:cs="Times New Roman"/>
                            <w:sz w:val="24"/>
                            <w:szCs w:val="24"/>
                            <w:lang w:val="sq-AL"/>
                          </w:rPr>
                          <w:t>(NACE 55.2)</w:t>
                        </w:r>
                      </w:p>
                    </w:tc>
                    <w:tc>
                      <w:tcPr>
                        <w:tcW w:w="4703" w:type="dxa"/>
                        <w:vAlign w:val="center"/>
                        <w:hideMark/>
                      </w:tcPr>
                      <w:p w14:paraId="28CFF371" w14:textId="77777777" w:rsidR="00B2139D" w:rsidRPr="003F7852" w:rsidRDefault="00B2139D" w:rsidP="00EE46D0">
                        <w:pPr>
                          <w:pStyle w:val="ListParagraph"/>
                          <w:numPr>
                            <w:ilvl w:val="0"/>
                            <w:numId w:val="40"/>
                          </w:numPr>
                          <w:spacing w:after="200" w:line="276" w:lineRule="auto"/>
                          <w:ind w:right="86"/>
                          <w:jc w:val="both"/>
                          <w:rPr>
                            <w:color w:val="000000"/>
                            <w:lang w:val="sq-AL"/>
                          </w:rPr>
                        </w:pPr>
                        <w:r w:rsidRPr="003F7852">
                          <w:rPr>
                            <w:color w:val="000000"/>
                            <w:lang w:val="sq-AL"/>
                          </w:rPr>
                          <w:t>Census për ndërmarrjet me 10 ose më shumë të punësuar;</w:t>
                        </w:r>
                      </w:p>
                      <w:p w14:paraId="4CBB0327" w14:textId="77777777" w:rsidR="00D6049F" w:rsidRPr="003F7852" w:rsidRDefault="00B2139D" w:rsidP="00EE46D0">
                        <w:pPr>
                          <w:pStyle w:val="ListParagraph"/>
                          <w:numPr>
                            <w:ilvl w:val="0"/>
                            <w:numId w:val="40"/>
                          </w:numPr>
                          <w:spacing w:line="276" w:lineRule="auto"/>
                          <w:jc w:val="both"/>
                          <w:rPr>
                            <w:color w:val="000000"/>
                            <w:lang w:val="sq-AL"/>
                          </w:rPr>
                        </w:pPr>
                        <w:r w:rsidRPr="003F7852">
                          <w:rPr>
                            <w:color w:val="000000"/>
                            <w:lang w:val="sq-AL"/>
                          </w:rPr>
                          <w:t xml:space="preserve">Për ndërmarrjet e vogla, merret një kampion, duke përdorur shtresimin sipas madhësisë së ndërmarrjes dhe NVE. </w:t>
                        </w:r>
                        <w:r w:rsidRPr="003F7852">
                          <w:rPr>
                            <w:noProof/>
                            <w:color w:val="000000"/>
                            <w:lang w:val="sq-AL" w:eastAsia="sq-AL"/>
                          </w:rPr>
                          <w:t>Sipas Rregullores 692/2011, NACE 55.1, 55.2 dhe 55.3 janë të mbuluara.</w:t>
                        </w:r>
                      </w:p>
                    </w:tc>
                  </w:tr>
                  <w:tr w:rsidR="00D6049F" w:rsidRPr="003F7852" w14:paraId="6344ACFC" w14:textId="77777777" w:rsidTr="006E67C0">
                    <w:tc>
                      <w:tcPr>
                        <w:tcW w:w="3461" w:type="dxa"/>
                        <w:vAlign w:val="center"/>
                        <w:hideMark/>
                      </w:tcPr>
                      <w:p w14:paraId="43C9097A" w14:textId="77777777" w:rsidR="00D6049F" w:rsidRPr="003F7852" w:rsidRDefault="00D6049F" w:rsidP="00EE46D0">
                        <w:pPr>
                          <w:spacing w:line="276" w:lineRule="auto"/>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12.3.2.3 </w:t>
                        </w:r>
                        <w:r w:rsidR="00B2139D" w:rsidRPr="003F7852">
                          <w:rPr>
                            <w:rFonts w:ascii="Times New Roman" w:eastAsia="Times New Roman" w:hAnsi="Times New Roman" w:cs="Times New Roman"/>
                            <w:sz w:val="24"/>
                            <w:szCs w:val="24"/>
                            <w:lang w:val="sq-AL"/>
                          </w:rPr>
                          <w:t xml:space="preserve">Hapësirat për kampingje dhe për parqe, për çadra ose rulota argëtimi, etj. </w:t>
                        </w:r>
                        <w:r w:rsidRPr="003F7852">
                          <w:rPr>
                            <w:rFonts w:ascii="Times New Roman" w:eastAsia="Times New Roman" w:hAnsi="Times New Roman" w:cs="Times New Roman"/>
                            <w:sz w:val="24"/>
                            <w:szCs w:val="24"/>
                            <w:lang w:val="sq-AL"/>
                          </w:rPr>
                          <w:t>(NACE 55.3)</w:t>
                        </w:r>
                      </w:p>
                    </w:tc>
                    <w:tc>
                      <w:tcPr>
                        <w:tcW w:w="4703" w:type="dxa"/>
                        <w:vAlign w:val="center"/>
                        <w:hideMark/>
                      </w:tcPr>
                      <w:p w14:paraId="127D6896" w14:textId="77777777" w:rsidR="00B2139D" w:rsidRPr="003F7852" w:rsidRDefault="00B2139D" w:rsidP="00EE46D0">
                        <w:pPr>
                          <w:pStyle w:val="ListParagraph"/>
                          <w:numPr>
                            <w:ilvl w:val="0"/>
                            <w:numId w:val="39"/>
                          </w:numPr>
                          <w:spacing w:after="200" w:line="276" w:lineRule="auto"/>
                          <w:ind w:right="86"/>
                          <w:jc w:val="both"/>
                          <w:rPr>
                            <w:color w:val="000000"/>
                            <w:lang w:val="sq-AL"/>
                          </w:rPr>
                        </w:pPr>
                        <w:r w:rsidRPr="003F7852">
                          <w:rPr>
                            <w:color w:val="000000"/>
                            <w:lang w:val="sq-AL"/>
                          </w:rPr>
                          <w:t>Census për ndërmarrjet me 10 ose më shumë të punësuar;</w:t>
                        </w:r>
                      </w:p>
                      <w:p w14:paraId="7021FF1B" w14:textId="77777777" w:rsidR="00D6049F" w:rsidRPr="003F7852" w:rsidRDefault="00B2139D" w:rsidP="00EE46D0">
                        <w:pPr>
                          <w:pStyle w:val="ListParagraph"/>
                          <w:numPr>
                            <w:ilvl w:val="0"/>
                            <w:numId w:val="39"/>
                          </w:numPr>
                          <w:spacing w:line="276" w:lineRule="auto"/>
                          <w:jc w:val="both"/>
                          <w:rPr>
                            <w:color w:val="000000"/>
                            <w:lang w:val="sq-AL"/>
                          </w:rPr>
                        </w:pPr>
                        <w:r w:rsidRPr="003F7852">
                          <w:rPr>
                            <w:color w:val="000000"/>
                            <w:lang w:val="sq-AL"/>
                          </w:rPr>
                          <w:t xml:space="preserve">Për ndërmarrjet e vogla, merret një kampion, duke përdorur shtresimin sipas madhësisë së ndërmarrjes dhe NVE. </w:t>
                        </w:r>
                        <w:r w:rsidRPr="003F7852">
                          <w:rPr>
                            <w:noProof/>
                            <w:color w:val="000000"/>
                            <w:lang w:val="sq-AL" w:eastAsia="sq-AL"/>
                          </w:rPr>
                          <w:t>Sipas Rregullores 692/2011, NACE 55.1, 55.2 dhe 55.3 janë të mbuluara.</w:t>
                        </w:r>
                      </w:p>
                    </w:tc>
                  </w:tr>
                </w:tbl>
                <w:p w14:paraId="5CAD3B41" w14:textId="77777777" w:rsidR="00D6049F" w:rsidRPr="003F7852" w:rsidRDefault="00D6049F" w:rsidP="00271414">
                  <w:pPr>
                    <w:rPr>
                      <w:noProof/>
                      <w:color w:val="000000"/>
                      <w:lang w:val="sq-AL" w:eastAsia="sq-AL"/>
                    </w:rPr>
                  </w:pPr>
                </w:p>
              </w:tc>
            </w:tr>
          </w:tbl>
          <w:p w14:paraId="79AB892E" w14:textId="77777777" w:rsidR="00F32733" w:rsidRPr="003F7852" w:rsidRDefault="00F32733" w:rsidP="00E0342D">
            <w:pPr>
              <w:spacing w:before="240"/>
              <w:jc w:val="both"/>
              <w:rPr>
                <w:rFonts w:ascii="Times New Roman" w:eastAsia="Times New Roman" w:hAnsi="Times New Roman" w:cs="Times New Roman"/>
                <w:noProof/>
                <w:color w:val="000000"/>
                <w:sz w:val="24"/>
                <w:szCs w:val="24"/>
                <w:lang w:val="sq-AL" w:eastAsia="sq-AL"/>
              </w:rPr>
            </w:pPr>
          </w:p>
        </w:tc>
      </w:tr>
      <w:tr w:rsidR="0028142A" w:rsidRPr="003F7852" w14:paraId="6F629521" w14:textId="77777777" w:rsidTr="00C50933">
        <w:trPr>
          <w:trHeight w:val="567"/>
        </w:trPr>
        <w:tc>
          <w:tcPr>
            <w:tcW w:w="10682" w:type="dxa"/>
            <w:gridSpan w:val="2"/>
            <w:shd w:val="clear" w:color="auto" w:fill="FBD4B4" w:themeFill="accent6" w:themeFillTint="66"/>
            <w:noWrap/>
            <w:vAlign w:val="center"/>
            <w:hideMark/>
          </w:tcPr>
          <w:p w14:paraId="48BC0041" w14:textId="77777777" w:rsidR="0028142A" w:rsidRPr="003F7852" w:rsidRDefault="0028142A"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69204586"/>
            <w:r w:rsidRPr="003F7852">
              <w:rPr>
                <w:rFonts w:ascii="Times New Roman" w:eastAsia="Times New Roman" w:hAnsi="Times New Roman" w:cs="Times New Roman"/>
                <w:b w:val="0"/>
                <w:bCs w:val="0"/>
                <w:noProof/>
                <w:color w:val="000000"/>
                <w:sz w:val="24"/>
                <w:szCs w:val="24"/>
                <w:lang w:val="sq-AL" w:eastAsia="sq-AL"/>
              </w:rPr>
              <w:lastRenderedPageBreak/>
              <w:t xml:space="preserve">13. </w:t>
            </w:r>
            <w:r w:rsidRPr="003F7852">
              <w:rPr>
                <w:rFonts w:ascii="Times New Roman" w:eastAsia="Times New Roman" w:hAnsi="Times New Roman" w:cs="Times New Roman"/>
                <w:noProof/>
                <w:color w:val="000000" w:themeColor="text1"/>
                <w:sz w:val="24"/>
                <w:szCs w:val="24"/>
                <w:lang w:val="sq-AL" w:eastAsia="sq-AL"/>
              </w:rPr>
              <w:t>Saktësia dhe besueshmëria</w:t>
            </w:r>
            <w:bookmarkEnd w:id="13"/>
          </w:p>
        </w:tc>
      </w:tr>
      <w:tr w:rsidR="00E43898" w:rsidRPr="003F7852" w14:paraId="67CDFA73" w14:textId="77777777" w:rsidTr="00C50933">
        <w:trPr>
          <w:trHeight w:val="567"/>
        </w:trPr>
        <w:tc>
          <w:tcPr>
            <w:tcW w:w="2518" w:type="dxa"/>
            <w:shd w:val="clear" w:color="auto" w:fill="FFFFCC"/>
            <w:noWrap/>
            <w:vAlign w:val="center"/>
            <w:hideMark/>
          </w:tcPr>
          <w:p w14:paraId="33FFF2D3"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13.1. Saktësia e përgjithshme</w:t>
            </w:r>
          </w:p>
        </w:tc>
        <w:tc>
          <w:tcPr>
            <w:tcW w:w="8164" w:type="dxa"/>
            <w:shd w:val="clear" w:color="auto" w:fill="auto"/>
            <w:vAlign w:val="center"/>
          </w:tcPr>
          <w:p w14:paraId="7D13486A" w14:textId="5598AF0A" w:rsidR="00E43898" w:rsidRPr="003F7852" w:rsidRDefault="00A237DD" w:rsidP="00A237DD">
            <w:pPr>
              <w:spacing w:before="240"/>
              <w:jc w:val="both"/>
              <w:rPr>
                <w:rFonts w:ascii="Times New Roman" w:eastAsia="Times New Roman" w:hAnsi="Times New Roman" w:cs="Times New Roman"/>
                <w:noProof/>
                <w:color w:val="000000"/>
                <w:sz w:val="24"/>
                <w:szCs w:val="24"/>
                <w:lang w:val="sq-AL" w:eastAsia="sq-AL"/>
              </w:rPr>
            </w:pPr>
            <w:r w:rsidRPr="00A237DD">
              <w:rPr>
                <w:rFonts w:ascii="Times New Roman" w:eastAsia="Times New Roman" w:hAnsi="Times New Roman" w:cs="Times New Roman"/>
                <w:noProof/>
                <w:color w:val="000000"/>
                <w:sz w:val="24"/>
                <w:szCs w:val="24"/>
                <w:lang w:val="sq-AL" w:eastAsia="sq-AL"/>
              </w:rPr>
              <w:t>Kontrollet e cilësisë dhe v</w:t>
            </w:r>
            <w:r>
              <w:rPr>
                <w:rFonts w:ascii="Times New Roman" w:eastAsia="Times New Roman" w:hAnsi="Times New Roman" w:cs="Times New Roman"/>
                <w:noProof/>
                <w:color w:val="000000"/>
                <w:sz w:val="24"/>
                <w:szCs w:val="24"/>
                <w:lang w:val="sq-AL" w:eastAsia="sq-AL"/>
              </w:rPr>
              <w:t>lefshmëria e</w:t>
            </w:r>
            <w:r w:rsidRPr="00A237DD">
              <w:rPr>
                <w:rFonts w:ascii="Times New Roman" w:eastAsia="Times New Roman" w:hAnsi="Times New Roman" w:cs="Times New Roman"/>
                <w:noProof/>
                <w:color w:val="000000"/>
                <w:sz w:val="24"/>
                <w:szCs w:val="24"/>
                <w:lang w:val="sq-AL" w:eastAsia="sq-AL"/>
              </w:rPr>
              <w:t xml:space="preserve"> të dhënave janë veprime të kryera gjatë gjithë procesit.</w:t>
            </w:r>
            <w:r>
              <w:rPr>
                <w:rFonts w:ascii="Times New Roman" w:eastAsia="Times New Roman" w:hAnsi="Times New Roman" w:cs="Times New Roman"/>
                <w:noProof/>
                <w:color w:val="000000"/>
                <w:sz w:val="24"/>
                <w:szCs w:val="24"/>
                <w:lang w:val="sq-AL" w:eastAsia="sq-AL"/>
              </w:rPr>
              <w:t xml:space="preserve"> </w:t>
            </w:r>
            <w:r w:rsidR="00B2139D" w:rsidRPr="003F7852">
              <w:rPr>
                <w:rFonts w:ascii="Times New Roman" w:eastAsia="Times New Roman" w:hAnsi="Times New Roman" w:cs="Times New Roman"/>
                <w:noProof/>
                <w:color w:val="000000"/>
                <w:sz w:val="24"/>
                <w:szCs w:val="24"/>
                <w:lang w:val="sq-AL" w:eastAsia="sq-AL"/>
              </w:rPr>
              <w:t>Ekziston problemi i mungesës së një regjistri të dediku</w:t>
            </w:r>
            <w:r w:rsidR="00153622" w:rsidRPr="003F7852">
              <w:rPr>
                <w:rFonts w:ascii="Times New Roman" w:eastAsia="Times New Roman" w:hAnsi="Times New Roman" w:cs="Times New Roman"/>
                <w:noProof/>
                <w:color w:val="000000"/>
                <w:sz w:val="24"/>
                <w:szCs w:val="24"/>
                <w:lang w:val="sq-AL" w:eastAsia="sq-AL"/>
              </w:rPr>
              <w:t xml:space="preserve">ar për </w:t>
            </w:r>
            <w:r w:rsidR="00EE46D0">
              <w:rPr>
                <w:rFonts w:ascii="Times New Roman" w:eastAsia="Times New Roman" w:hAnsi="Times New Roman" w:cs="Times New Roman"/>
                <w:noProof/>
                <w:color w:val="000000"/>
                <w:sz w:val="24"/>
                <w:szCs w:val="24"/>
                <w:lang w:val="sq-AL" w:eastAsia="sq-AL"/>
              </w:rPr>
              <w:t>strukturat</w:t>
            </w:r>
            <w:r w:rsidR="00153622" w:rsidRPr="003F7852">
              <w:rPr>
                <w:rFonts w:ascii="Times New Roman" w:eastAsia="Times New Roman" w:hAnsi="Times New Roman" w:cs="Times New Roman"/>
                <w:noProof/>
                <w:color w:val="000000"/>
                <w:sz w:val="24"/>
                <w:szCs w:val="24"/>
                <w:lang w:val="sq-AL" w:eastAsia="sq-AL"/>
              </w:rPr>
              <w:t xml:space="preserve"> akomoduese, </w:t>
            </w:r>
            <w:r w:rsidR="00B2139D" w:rsidRPr="003F7852">
              <w:rPr>
                <w:rFonts w:ascii="Times New Roman" w:eastAsia="Times New Roman" w:hAnsi="Times New Roman" w:cs="Times New Roman"/>
                <w:noProof/>
                <w:color w:val="000000"/>
                <w:sz w:val="24"/>
                <w:szCs w:val="24"/>
                <w:lang w:val="sq-AL" w:eastAsia="sq-AL"/>
              </w:rPr>
              <w:t xml:space="preserve">i cili përfshin të gjitha variablat e nevojshëm për të prodhuar statistika cilësore të turizmit. Ky regjistër do të mund të kontribuojë në një zvogëlim gradual të gabimeve të under-coverage. Shkalla e </w:t>
            </w:r>
            <w:r w:rsidR="00153622" w:rsidRPr="003F7852">
              <w:rPr>
                <w:rFonts w:ascii="Times New Roman" w:eastAsia="Times New Roman" w:hAnsi="Times New Roman" w:cs="Times New Roman"/>
                <w:noProof/>
                <w:color w:val="000000"/>
                <w:sz w:val="24"/>
                <w:szCs w:val="24"/>
                <w:lang w:val="sq-AL" w:eastAsia="sq-AL"/>
              </w:rPr>
              <w:t xml:space="preserve">under-coverage </w:t>
            </w:r>
            <w:r w:rsidR="00B2139D" w:rsidRPr="003F7852">
              <w:rPr>
                <w:rFonts w:ascii="Times New Roman" w:eastAsia="Times New Roman" w:hAnsi="Times New Roman" w:cs="Times New Roman"/>
                <w:noProof/>
                <w:color w:val="000000"/>
                <w:sz w:val="24"/>
                <w:szCs w:val="24"/>
                <w:lang w:val="sq-AL" w:eastAsia="sq-AL"/>
              </w:rPr>
              <w:t xml:space="preserve">është e panjohur, sepse nuk e dimë saktësisht se sa është numri aktual i të gjitha strukturave të akomodimit në Shqipëri. </w:t>
            </w:r>
            <w:r w:rsidR="00153622" w:rsidRPr="003F7852">
              <w:rPr>
                <w:rFonts w:ascii="Times New Roman" w:eastAsia="Times New Roman" w:hAnsi="Times New Roman" w:cs="Times New Roman"/>
                <w:noProof/>
                <w:color w:val="000000"/>
                <w:sz w:val="24"/>
                <w:szCs w:val="24"/>
                <w:lang w:val="sq-AL" w:eastAsia="sq-AL"/>
              </w:rPr>
              <w:t>Vrojtimet</w:t>
            </w:r>
            <w:r w:rsidR="00B2139D" w:rsidRPr="003F7852">
              <w:rPr>
                <w:rFonts w:ascii="Times New Roman" w:eastAsia="Times New Roman" w:hAnsi="Times New Roman" w:cs="Times New Roman"/>
                <w:noProof/>
                <w:color w:val="000000"/>
                <w:sz w:val="24"/>
                <w:szCs w:val="24"/>
                <w:lang w:val="sq-AL" w:eastAsia="sq-AL"/>
              </w:rPr>
              <w:t xml:space="preserve"> mujore kanë ndihmuar në marrjen e një informacioni </w:t>
            </w:r>
            <w:r w:rsidR="00153622" w:rsidRPr="003F7852">
              <w:rPr>
                <w:rFonts w:ascii="Times New Roman" w:eastAsia="Times New Roman" w:hAnsi="Times New Roman" w:cs="Times New Roman"/>
                <w:noProof/>
                <w:color w:val="000000"/>
                <w:sz w:val="24"/>
                <w:szCs w:val="24"/>
                <w:lang w:val="sq-AL" w:eastAsia="sq-AL"/>
              </w:rPr>
              <w:t>shumë të saktë në lidhje me under-coverage</w:t>
            </w:r>
            <w:r w:rsidR="00B2139D" w:rsidRPr="003F7852">
              <w:rPr>
                <w:rFonts w:ascii="Times New Roman" w:eastAsia="Times New Roman" w:hAnsi="Times New Roman" w:cs="Times New Roman"/>
                <w:noProof/>
                <w:color w:val="000000"/>
                <w:sz w:val="24"/>
                <w:szCs w:val="24"/>
                <w:lang w:val="sq-AL" w:eastAsia="sq-AL"/>
              </w:rPr>
              <w:t>, dhe ky problem ekziston vetëm me njësitë e vogl</w:t>
            </w:r>
            <w:r w:rsidR="003A15FE">
              <w:rPr>
                <w:rFonts w:ascii="Times New Roman" w:eastAsia="Times New Roman" w:hAnsi="Times New Roman" w:cs="Times New Roman"/>
                <w:noProof/>
                <w:color w:val="000000"/>
                <w:sz w:val="24"/>
                <w:szCs w:val="24"/>
                <w:lang w:val="sq-AL" w:eastAsia="sq-AL"/>
              </w:rPr>
              <w:t>a. N</w:t>
            </w:r>
            <w:r w:rsidR="00B2139D" w:rsidRPr="003F7852">
              <w:rPr>
                <w:rFonts w:ascii="Times New Roman" w:eastAsia="Times New Roman" w:hAnsi="Times New Roman" w:cs="Times New Roman"/>
                <w:noProof/>
                <w:color w:val="000000"/>
                <w:sz w:val="24"/>
                <w:szCs w:val="24"/>
                <w:lang w:val="sq-AL" w:eastAsia="sq-AL"/>
              </w:rPr>
              <w:t>jësitë që ofrojnë akomodim nuk janë gjithmonë të regjistruara në aktivitetet përkatëse në Regjistrin Statisti</w:t>
            </w:r>
            <w:r w:rsidR="00153622" w:rsidRPr="003F7852">
              <w:rPr>
                <w:rFonts w:ascii="Times New Roman" w:eastAsia="Times New Roman" w:hAnsi="Times New Roman" w:cs="Times New Roman"/>
                <w:noProof/>
                <w:color w:val="000000"/>
                <w:sz w:val="24"/>
                <w:szCs w:val="24"/>
                <w:lang w:val="sq-AL" w:eastAsia="sq-AL"/>
              </w:rPr>
              <w:t>kor të Biznesit (veçanërisht Njësitë Lokale</w:t>
            </w:r>
            <w:r w:rsidR="00B2139D" w:rsidRPr="003F7852">
              <w:rPr>
                <w:rFonts w:ascii="Times New Roman" w:eastAsia="Times New Roman" w:hAnsi="Times New Roman" w:cs="Times New Roman"/>
                <w:noProof/>
                <w:color w:val="000000"/>
                <w:sz w:val="24"/>
                <w:szCs w:val="24"/>
                <w:lang w:val="sq-AL" w:eastAsia="sq-AL"/>
              </w:rPr>
              <w:t>).</w:t>
            </w:r>
          </w:p>
        </w:tc>
      </w:tr>
      <w:tr w:rsidR="00E43898" w:rsidRPr="003F7852" w14:paraId="427078F0" w14:textId="77777777" w:rsidTr="00C50933">
        <w:trPr>
          <w:trHeight w:val="567"/>
        </w:trPr>
        <w:tc>
          <w:tcPr>
            <w:tcW w:w="2518" w:type="dxa"/>
            <w:shd w:val="clear" w:color="auto" w:fill="FFFFCC"/>
            <w:noWrap/>
            <w:vAlign w:val="center"/>
            <w:hideMark/>
          </w:tcPr>
          <w:p w14:paraId="640DF600"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13.2. Gabim i kampionimit</w:t>
            </w:r>
          </w:p>
        </w:tc>
        <w:tc>
          <w:tcPr>
            <w:tcW w:w="8164" w:type="dxa"/>
            <w:shd w:val="clear" w:color="auto" w:fill="auto"/>
            <w:vAlign w:val="center"/>
          </w:tcPr>
          <w:p w14:paraId="06A3513E" w14:textId="77777777" w:rsidR="00E43898" w:rsidRPr="003F7852" w:rsidRDefault="00F27867" w:rsidP="000C62D2">
            <w:pPr>
              <w:spacing w:before="240" w:after="240" w:line="240" w:lineRule="auto"/>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Nuk aplikohet.</w:t>
            </w:r>
          </w:p>
        </w:tc>
      </w:tr>
      <w:tr w:rsidR="00E43898" w:rsidRPr="003F7852" w14:paraId="3098EA5D" w14:textId="77777777" w:rsidTr="00DB66EC">
        <w:trPr>
          <w:trHeight w:val="359"/>
        </w:trPr>
        <w:tc>
          <w:tcPr>
            <w:tcW w:w="2518" w:type="dxa"/>
            <w:shd w:val="clear" w:color="auto" w:fill="FFFFCC"/>
            <w:noWrap/>
            <w:vAlign w:val="center"/>
            <w:hideMark/>
          </w:tcPr>
          <w:p w14:paraId="6FDC589D"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CB002D">
              <w:rPr>
                <w:rFonts w:ascii="Times New Roman" w:eastAsia="Times New Roman" w:hAnsi="Times New Roman" w:cs="Times New Roman"/>
                <w:noProof/>
                <w:color w:val="000000"/>
                <w:sz w:val="24"/>
                <w:szCs w:val="24"/>
                <w:lang w:val="sq-AL" w:eastAsia="sq-AL"/>
              </w:rPr>
              <w:t>13.3. Gabim jo i kampionimit</w:t>
            </w:r>
            <w:r w:rsidRPr="003F7852">
              <w:rPr>
                <w:rFonts w:ascii="Times New Roman" w:eastAsia="Times New Roman" w:hAnsi="Times New Roman" w:cs="Times New Roman"/>
                <w:noProof/>
                <w:color w:val="000000"/>
                <w:sz w:val="24"/>
                <w:szCs w:val="24"/>
                <w:lang w:val="sq-AL" w:eastAsia="sq-AL"/>
              </w:rPr>
              <w:t xml:space="preserve"> </w:t>
            </w:r>
          </w:p>
        </w:tc>
        <w:tc>
          <w:tcPr>
            <w:tcW w:w="8164" w:type="dxa"/>
            <w:shd w:val="clear" w:color="auto" w:fill="auto"/>
            <w:vAlign w:val="center"/>
          </w:tcPr>
          <w:p w14:paraId="73407F89" w14:textId="11CDF442" w:rsidR="00E31FED" w:rsidRPr="009C647C" w:rsidRDefault="00E31FED" w:rsidP="002440BD">
            <w:pPr>
              <w:spacing w:before="240"/>
              <w:jc w:val="both"/>
              <w:rPr>
                <w:rFonts w:ascii="Times New Roman" w:eastAsia="Times New Roman" w:hAnsi="Times New Roman" w:cs="Times New Roman"/>
                <w:noProof/>
                <w:color w:val="000000"/>
                <w:sz w:val="24"/>
                <w:szCs w:val="24"/>
                <w:lang w:val="sq-AL" w:eastAsia="sq-AL"/>
              </w:rPr>
            </w:pPr>
            <w:r w:rsidRPr="009C647C">
              <w:rPr>
                <w:rFonts w:ascii="Times New Roman" w:eastAsia="Times New Roman" w:hAnsi="Times New Roman" w:cs="Times New Roman"/>
                <w:noProof/>
                <w:color w:val="000000"/>
                <w:sz w:val="24"/>
                <w:szCs w:val="24"/>
                <w:lang w:val="sq-AL" w:eastAsia="sq-AL"/>
              </w:rPr>
              <w:t xml:space="preserve">Mos përgjigja mujore vlerësohet në rreth </w:t>
            </w:r>
            <w:r w:rsidR="00D37E21" w:rsidRPr="009C647C">
              <w:rPr>
                <w:rFonts w:ascii="Times New Roman" w:eastAsia="Times New Roman" w:hAnsi="Times New Roman" w:cs="Times New Roman"/>
                <w:noProof/>
                <w:color w:val="000000"/>
                <w:sz w:val="24"/>
                <w:szCs w:val="24"/>
                <w:lang w:val="sq-AL" w:eastAsia="sq-AL"/>
              </w:rPr>
              <w:t>7.78</w:t>
            </w:r>
            <w:r w:rsidRPr="009C647C">
              <w:rPr>
                <w:rFonts w:ascii="Times New Roman" w:eastAsia="Times New Roman" w:hAnsi="Times New Roman" w:cs="Times New Roman"/>
                <w:noProof/>
                <w:color w:val="000000"/>
                <w:sz w:val="24"/>
                <w:szCs w:val="24"/>
                <w:lang w:val="sq-AL" w:eastAsia="sq-AL"/>
              </w:rPr>
              <w:t xml:space="preserve">% dhe informacioni që mungon imputohet duke përdorur metoda të përshtatshme matematikore që marrin të dhëna </w:t>
            </w:r>
            <w:r w:rsidR="003A15FE" w:rsidRPr="009C647C">
              <w:rPr>
                <w:rFonts w:ascii="Times New Roman" w:eastAsia="Times New Roman" w:hAnsi="Times New Roman" w:cs="Times New Roman"/>
                <w:noProof/>
                <w:color w:val="000000"/>
                <w:sz w:val="24"/>
                <w:szCs w:val="24"/>
                <w:lang w:val="sq-AL" w:eastAsia="sq-AL"/>
              </w:rPr>
              <w:t>të periudhave të mëparshme</w:t>
            </w:r>
            <w:r w:rsidRPr="009C647C">
              <w:rPr>
                <w:rFonts w:ascii="Times New Roman" w:eastAsia="Times New Roman" w:hAnsi="Times New Roman" w:cs="Times New Roman"/>
                <w:noProof/>
                <w:color w:val="000000"/>
                <w:sz w:val="24"/>
                <w:szCs w:val="24"/>
                <w:lang w:val="sq-AL" w:eastAsia="sq-AL"/>
              </w:rPr>
              <w:t>.</w:t>
            </w:r>
          </w:p>
          <w:p w14:paraId="0C699865" w14:textId="3B9D15D4" w:rsidR="00E31FED" w:rsidRPr="009C647C" w:rsidRDefault="00E31FED" w:rsidP="002A3BD8">
            <w:pPr>
              <w:jc w:val="both"/>
              <w:rPr>
                <w:rFonts w:ascii="Times New Roman" w:eastAsia="Times New Roman" w:hAnsi="Times New Roman" w:cs="Times New Roman"/>
                <w:noProof/>
                <w:color w:val="000000"/>
                <w:sz w:val="24"/>
                <w:szCs w:val="24"/>
                <w:lang w:val="sq-AL" w:eastAsia="sq-AL"/>
              </w:rPr>
            </w:pPr>
            <w:r w:rsidRPr="009C647C">
              <w:rPr>
                <w:rFonts w:ascii="Times New Roman" w:eastAsia="Times New Roman" w:hAnsi="Times New Roman" w:cs="Times New Roman"/>
                <w:noProof/>
                <w:color w:val="000000"/>
                <w:sz w:val="24"/>
                <w:szCs w:val="24"/>
                <w:lang w:val="sq-AL" w:eastAsia="sq-AL"/>
              </w:rPr>
              <w:t xml:space="preserve">Shkalla e mos përgjigjes </w:t>
            </w:r>
            <w:r w:rsidR="00AC321B" w:rsidRPr="009C647C">
              <w:rPr>
                <w:rFonts w:ascii="Times New Roman" w:eastAsia="Times New Roman" w:hAnsi="Times New Roman" w:cs="Times New Roman"/>
                <w:noProof/>
                <w:color w:val="000000"/>
                <w:sz w:val="24"/>
                <w:szCs w:val="24"/>
                <w:lang w:val="sq-AL" w:eastAsia="sq-AL"/>
              </w:rPr>
              <w:t xml:space="preserve">në </w:t>
            </w:r>
            <w:r w:rsidRPr="009C647C">
              <w:rPr>
                <w:rFonts w:ascii="Times New Roman" w:eastAsia="Times New Roman" w:hAnsi="Times New Roman" w:cs="Times New Roman"/>
                <w:noProof/>
                <w:color w:val="000000"/>
                <w:sz w:val="24"/>
                <w:szCs w:val="24"/>
                <w:lang w:val="sq-AL" w:eastAsia="sq-AL"/>
              </w:rPr>
              <w:t xml:space="preserve">nivel treguesi për treguesit kryesorë është: </w:t>
            </w:r>
            <w:r w:rsidR="00F83454" w:rsidRPr="009C647C">
              <w:rPr>
                <w:rFonts w:ascii="Times New Roman" w:eastAsia="Times New Roman" w:hAnsi="Times New Roman" w:cs="Times New Roman"/>
                <w:noProof/>
                <w:color w:val="000000"/>
                <w:sz w:val="24"/>
                <w:szCs w:val="24"/>
                <w:lang w:val="sq-AL" w:eastAsia="sq-AL"/>
              </w:rPr>
              <w:t xml:space="preserve">Numri </w:t>
            </w:r>
            <w:r w:rsidR="00F83454" w:rsidRPr="009C647C">
              <w:rPr>
                <w:rFonts w:ascii="Times New Roman" w:eastAsia="Times New Roman" w:hAnsi="Times New Roman" w:cs="Times New Roman"/>
                <w:noProof/>
                <w:color w:val="000000"/>
                <w:sz w:val="24"/>
                <w:szCs w:val="24"/>
                <w:lang w:val="sq-AL" w:eastAsia="sq-AL"/>
              </w:rPr>
              <w:lastRenderedPageBreak/>
              <w:t>gjithsej i vizitorëve rezidentë gjatë muajit</w:t>
            </w:r>
            <w:r w:rsidR="00F83454" w:rsidRPr="009C647C" w:rsidDel="00F83454">
              <w:rPr>
                <w:rFonts w:ascii="Times New Roman" w:eastAsia="Times New Roman" w:hAnsi="Times New Roman" w:cs="Times New Roman"/>
                <w:noProof/>
                <w:color w:val="000000"/>
                <w:sz w:val="24"/>
                <w:szCs w:val="24"/>
                <w:lang w:val="sq-AL" w:eastAsia="sq-AL"/>
              </w:rPr>
              <w:t xml:space="preserve"> </w:t>
            </w:r>
            <w:r w:rsidRPr="009C647C">
              <w:rPr>
                <w:rFonts w:ascii="Times New Roman" w:eastAsia="Times New Roman" w:hAnsi="Times New Roman" w:cs="Times New Roman"/>
                <w:noProof/>
                <w:color w:val="000000"/>
                <w:sz w:val="24"/>
                <w:szCs w:val="24"/>
                <w:lang w:val="sq-AL" w:eastAsia="sq-AL"/>
              </w:rPr>
              <w:t xml:space="preserve">është </w:t>
            </w:r>
            <w:r w:rsidR="00D37E21" w:rsidRPr="009C647C">
              <w:rPr>
                <w:rFonts w:ascii="Times New Roman" w:eastAsia="Times New Roman" w:hAnsi="Times New Roman" w:cs="Times New Roman"/>
                <w:noProof/>
                <w:color w:val="000000"/>
                <w:sz w:val="24"/>
                <w:szCs w:val="24"/>
                <w:lang w:val="sq-AL" w:eastAsia="sq-AL"/>
              </w:rPr>
              <w:t>14.52</w:t>
            </w:r>
            <w:r w:rsidRPr="009C647C">
              <w:rPr>
                <w:rFonts w:ascii="Times New Roman" w:eastAsia="Times New Roman" w:hAnsi="Times New Roman" w:cs="Times New Roman"/>
                <w:noProof/>
                <w:color w:val="000000"/>
                <w:sz w:val="24"/>
                <w:szCs w:val="24"/>
                <w:lang w:val="sq-AL" w:eastAsia="sq-AL"/>
              </w:rPr>
              <w:t xml:space="preserve">%, </w:t>
            </w:r>
            <w:r w:rsidR="00F83454" w:rsidRPr="009C647C">
              <w:rPr>
                <w:rFonts w:ascii="Times New Roman" w:eastAsia="Times New Roman" w:hAnsi="Times New Roman" w:cs="Times New Roman"/>
                <w:noProof/>
                <w:color w:val="000000"/>
                <w:sz w:val="24"/>
                <w:szCs w:val="24"/>
                <w:lang w:val="sq-AL" w:eastAsia="sq-AL"/>
              </w:rPr>
              <w:t>Numri gjithsej i netë qëndrimeve gjatë muajit</w:t>
            </w:r>
            <w:r w:rsidR="00AC321B" w:rsidRPr="009C647C">
              <w:rPr>
                <w:rFonts w:ascii="Times New Roman" w:eastAsia="Times New Roman" w:hAnsi="Times New Roman" w:cs="Times New Roman"/>
                <w:noProof/>
                <w:color w:val="000000"/>
                <w:sz w:val="24"/>
                <w:szCs w:val="24"/>
                <w:lang w:val="sq-AL" w:eastAsia="sq-AL"/>
              </w:rPr>
              <w:t xml:space="preserve"> </w:t>
            </w:r>
            <w:r w:rsidRPr="009C647C">
              <w:rPr>
                <w:rFonts w:ascii="Times New Roman" w:eastAsia="Times New Roman" w:hAnsi="Times New Roman" w:cs="Times New Roman"/>
                <w:noProof/>
                <w:color w:val="000000"/>
                <w:sz w:val="24"/>
                <w:szCs w:val="24"/>
                <w:lang w:val="sq-AL" w:eastAsia="sq-AL"/>
              </w:rPr>
              <w:t>nga vi</w:t>
            </w:r>
            <w:r w:rsidR="002A3BD8" w:rsidRPr="009C647C">
              <w:rPr>
                <w:rFonts w:ascii="Times New Roman" w:eastAsia="Times New Roman" w:hAnsi="Times New Roman" w:cs="Times New Roman"/>
                <w:noProof/>
                <w:color w:val="000000"/>
                <w:sz w:val="24"/>
                <w:szCs w:val="24"/>
                <w:lang w:val="sq-AL" w:eastAsia="sq-AL"/>
              </w:rPr>
              <w:t xml:space="preserve">zitorët rezidentë është </w:t>
            </w:r>
            <w:r w:rsidR="00D37E21" w:rsidRPr="009C647C">
              <w:rPr>
                <w:rFonts w:ascii="Times New Roman" w:eastAsia="Times New Roman" w:hAnsi="Times New Roman" w:cs="Times New Roman"/>
                <w:noProof/>
                <w:color w:val="000000"/>
                <w:sz w:val="24"/>
                <w:szCs w:val="24"/>
                <w:lang w:val="sq-AL" w:eastAsia="sq-AL"/>
              </w:rPr>
              <w:t>14.52</w:t>
            </w:r>
            <w:r w:rsidR="002A3BD8" w:rsidRPr="009C647C">
              <w:rPr>
                <w:rFonts w:ascii="Times New Roman" w:eastAsia="Times New Roman" w:hAnsi="Times New Roman" w:cs="Times New Roman"/>
                <w:noProof/>
                <w:color w:val="000000"/>
                <w:sz w:val="24"/>
                <w:szCs w:val="24"/>
                <w:lang w:val="sq-AL" w:eastAsia="sq-AL"/>
              </w:rPr>
              <w:t>%.</w:t>
            </w:r>
            <w:r w:rsidR="00AA35F2" w:rsidRPr="009C647C">
              <w:rPr>
                <w:rFonts w:ascii="Times New Roman" w:eastAsia="Times New Roman" w:hAnsi="Times New Roman" w:cs="Times New Roman"/>
                <w:noProof/>
                <w:color w:val="000000"/>
                <w:sz w:val="24"/>
                <w:szCs w:val="24"/>
                <w:lang w:val="sq-AL" w:eastAsia="sq-AL"/>
              </w:rPr>
              <w:t xml:space="preserve"> </w:t>
            </w:r>
          </w:p>
          <w:p w14:paraId="4A080447" w14:textId="66CB7306" w:rsidR="00E43898" w:rsidRPr="00EB5303" w:rsidRDefault="00AC321B" w:rsidP="00C81F90">
            <w:pPr>
              <w:jc w:val="both"/>
              <w:rPr>
                <w:rFonts w:ascii="Times New Roman" w:eastAsia="Times New Roman" w:hAnsi="Times New Roman" w:cs="Times New Roman"/>
                <w:noProof/>
                <w:color w:val="000000"/>
                <w:sz w:val="24"/>
                <w:szCs w:val="24"/>
                <w:lang w:val="sq-AL" w:eastAsia="sq-AL"/>
              </w:rPr>
            </w:pPr>
            <w:r w:rsidRPr="00EB5303">
              <w:rPr>
                <w:rFonts w:ascii="Times New Roman" w:eastAsia="Times New Roman" w:hAnsi="Times New Roman" w:cs="Times New Roman"/>
                <w:noProof/>
                <w:color w:val="000000"/>
                <w:sz w:val="24"/>
                <w:szCs w:val="24"/>
                <w:lang w:val="sq-AL" w:eastAsia="sq-AL"/>
              </w:rPr>
              <w:t>Shkalla e mbi-mbulimit</w:t>
            </w:r>
            <w:r w:rsidR="00E31FED" w:rsidRPr="00EB5303">
              <w:rPr>
                <w:rFonts w:ascii="Times New Roman" w:eastAsia="Times New Roman" w:hAnsi="Times New Roman" w:cs="Times New Roman"/>
                <w:noProof/>
                <w:color w:val="000000"/>
                <w:sz w:val="24"/>
                <w:szCs w:val="24"/>
                <w:lang w:val="sq-AL" w:eastAsia="sq-AL"/>
              </w:rPr>
              <w:t xml:space="preserve"> është i mundur kur një njësi regjistrohet në </w:t>
            </w:r>
            <w:r w:rsidR="00556681" w:rsidRPr="00EB5303">
              <w:rPr>
                <w:rFonts w:ascii="Times New Roman" w:eastAsia="Times New Roman" w:hAnsi="Times New Roman" w:cs="Times New Roman"/>
                <w:noProof/>
                <w:color w:val="000000"/>
                <w:sz w:val="24"/>
                <w:szCs w:val="24"/>
                <w:lang w:val="sq-AL" w:eastAsia="sq-AL"/>
              </w:rPr>
              <w:t xml:space="preserve">një aktivitet të caktuar </w:t>
            </w:r>
            <w:r w:rsidR="00556681" w:rsidRPr="00EB5303">
              <w:rPr>
                <w:rFonts w:ascii="Times New Roman" w:hAnsi="Times New Roman" w:cs="Times New Roman"/>
                <w:sz w:val="24"/>
                <w:szCs w:val="24"/>
                <w:lang w:val="sq-AL"/>
              </w:rPr>
              <w:t>objekt i anketimit dhe gjatë procesit të intervistimit ajo nuk është më objekt i anketimit</w:t>
            </w:r>
            <w:r w:rsidR="00E31FED" w:rsidRPr="00EB5303">
              <w:rPr>
                <w:rFonts w:ascii="Times New Roman" w:eastAsia="Times New Roman" w:hAnsi="Times New Roman" w:cs="Times New Roman"/>
                <w:noProof/>
                <w:color w:val="000000"/>
                <w:sz w:val="24"/>
                <w:szCs w:val="24"/>
                <w:lang w:val="sq-AL" w:eastAsia="sq-AL"/>
              </w:rPr>
              <w:t xml:space="preserve">, </w:t>
            </w:r>
            <w:r w:rsidR="00556681" w:rsidRPr="00EB5303">
              <w:rPr>
                <w:rFonts w:ascii="Times New Roman" w:eastAsia="Times New Roman" w:hAnsi="Times New Roman" w:cs="Times New Roman"/>
                <w:noProof/>
                <w:color w:val="000000"/>
                <w:sz w:val="24"/>
                <w:szCs w:val="24"/>
                <w:lang w:val="sq-AL" w:eastAsia="sq-AL"/>
              </w:rPr>
              <w:t>ose kur njësia e vrojtuar nuk është më aktive</w:t>
            </w:r>
            <w:r w:rsidR="00E31FED" w:rsidRPr="00EB5303">
              <w:rPr>
                <w:rFonts w:ascii="Times New Roman" w:eastAsia="Times New Roman" w:hAnsi="Times New Roman" w:cs="Times New Roman"/>
                <w:noProof/>
                <w:color w:val="000000"/>
                <w:sz w:val="24"/>
                <w:szCs w:val="24"/>
                <w:lang w:val="sq-AL" w:eastAsia="sq-AL"/>
              </w:rPr>
              <w:t xml:space="preserve">. Shkalla e </w:t>
            </w:r>
            <w:r w:rsidR="00556681" w:rsidRPr="00EB5303">
              <w:rPr>
                <w:rFonts w:ascii="Times New Roman" w:eastAsia="Times New Roman" w:hAnsi="Times New Roman" w:cs="Times New Roman"/>
                <w:noProof/>
                <w:color w:val="000000"/>
                <w:sz w:val="24"/>
                <w:szCs w:val="24"/>
                <w:lang w:val="sq-AL" w:eastAsia="sq-AL"/>
              </w:rPr>
              <w:t>m</w:t>
            </w:r>
            <w:r w:rsidRPr="00EB5303">
              <w:rPr>
                <w:rFonts w:ascii="Times New Roman" w:eastAsia="Times New Roman" w:hAnsi="Times New Roman" w:cs="Times New Roman"/>
                <w:noProof/>
                <w:color w:val="000000"/>
                <w:sz w:val="24"/>
                <w:szCs w:val="24"/>
                <w:lang w:val="sq-AL" w:eastAsia="sq-AL"/>
              </w:rPr>
              <w:t>bi</w:t>
            </w:r>
            <w:r w:rsidR="00556681" w:rsidRPr="00EB5303">
              <w:rPr>
                <w:rFonts w:ascii="Times New Roman" w:eastAsia="Times New Roman" w:hAnsi="Times New Roman" w:cs="Times New Roman"/>
                <w:noProof/>
                <w:color w:val="000000"/>
                <w:sz w:val="24"/>
                <w:szCs w:val="24"/>
                <w:lang w:val="sq-AL" w:eastAsia="sq-AL"/>
              </w:rPr>
              <w:t xml:space="preserve"> </w:t>
            </w:r>
            <w:r w:rsidRPr="00EB5303">
              <w:rPr>
                <w:rFonts w:ascii="Times New Roman" w:eastAsia="Times New Roman" w:hAnsi="Times New Roman" w:cs="Times New Roman"/>
                <w:noProof/>
                <w:color w:val="000000"/>
                <w:sz w:val="24"/>
                <w:szCs w:val="24"/>
                <w:lang w:val="sq-AL" w:eastAsia="sq-AL"/>
              </w:rPr>
              <w:t>mbulimit</w:t>
            </w:r>
            <w:r w:rsidR="00F83454" w:rsidRPr="00EB5303">
              <w:rPr>
                <w:rFonts w:ascii="Times New Roman" w:eastAsia="Times New Roman" w:hAnsi="Times New Roman" w:cs="Times New Roman"/>
                <w:noProof/>
                <w:color w:val="000000"/>
                <w:sz w:val="24"/>
                <w:szCs w:val="24"/>
                <w:lang w:val="sq-AL" w:eastAsia="sq-AL"/>
              </w:rPr>
              <w:t xml:space="preserve"> për Anketën e Strukturave </w:t>
            </w:r>
            <w:r w:rsidR="0012163F" w:rsidRPr="00EB5303">
              <w:rPr>
                <w:rFonts w:ascii="Times New Roman" w:eastAsia="Times New Roman" w:hAnsi="Times New Roman" w:cs="Times New Roman"/>
                <w:noProof/>
                <w:color w:val="000000"/>
                <w:sz w:val="24"/>
                <w:szCs w:val="24"/>
                <w:lang w:val="sq-AL" w:eastAsia="sq-AL"/>
              </w:rPr>
              <w:t>A</w:t>
            </w:r>
            <w:r w:rsidR="00F83454" w:rsidRPr="00EB5303">
              <w:rPr>
                <w:rFonts w:ascii="Times New Roman" w:eastAsia="Times New Roman" w:hAnsi="Times New Roman" w:cs="Times New Roman"/>
                <w:noProof/>
                <w:color w:val="000000"/>
                <w:sz w:val="24"/>
                <w:szCs w:val="24"/>
                <w:lang w:val="sq-AL" w:eastAsia="sq-AL"/>
              </w:rPr>
              <w:t>komoduese</w:t>
            </w:r>
            <w:r w:rsidR="00E31FED" w:rsidRPr="00EB5303">
              <w:rPr>
                <w:rFonts w:ascii="Times New Roman" w:eastAsia="Times New Roman" w:hAnsi="Times New Roman" w:cs="Times New Roman"/>
                <w:noProof/>
                <w:color w:val="000000"/>
                <w:sz w:val="24"/>
                <w:szCs w:val="24"/>
                <w:lang w:val="sq-AL" w:eastAsia="sq-AL"/>
              </w:rPr>
              <w:t xml:space="preserve"> është </w:t>
            </w:r>
            <w:r w:rsidR="00C81F90" w:rsidRPr="00EB5303">
              <w:rPr>
                <w:rFonts w:ascii="Times New Roman" w:eastAsia="Times New Roman" w:hAnsi="Times New Roman" w:cs="Times New Roman"/>
                <w:noProof/>
                <w:color w:val="000000"/>
                <w:sz w:val="24"/>
                <w:szCs w:val="24"/>
                <w:lang w:val="sq-AL" w:eastAsia="sq-AL"/>
              </w:rPr>
              <w:t>3.67</w:t>
            </w:r>
            <w:r w:rsidR="00E31FED" w:rsidRPr="00EB5303">
              <w:rPr>
                <w:rFonts w:ascii="Times New Roman" w:eastAsia="Times New Roman" w:hAnsi="Times New Roman" w:cs="Times New Roman"/>
                <w:noProof/>
                <w:color w:val="000000"/>
                <w:sz w:val="24"/>
                <w:szCs w:val="24"/>
                <w:lang w:val="sq-AL" w:eastAsia="sq-AL"/>
              </w:rPr>
              <w:t>%.</w:t>
            </w:r>
          </w:p>
        </w:tc>
      </w:tr>
      <w:tr w:rsidR="002149D3" w:rsidRPr="003F7852" w14:paraId="117EBFAE" w14:textId="77777777" w:rsidTr="00CC5785">
        <w:trPr>
          <w:trHeight w:val="562"/>
        </w:trPr>
        <w:tc>
          <w:tcPr>
            <w:tcW w:w="10682" w:type="dxa"/>
            <w:gridSpan w:val="2"/>
            <w:shd w:val="clear" w:color="auto" w:fill="FBD4B4" w:themeFill="accent6" w:themeFillTint="66"/>
            <w:noWrap/>
            <w:vAlign w:val="center"/>
            <w:hideMark/>
          </w:tcPr>
          <w:p w14:paraId="7563D211" w14:textId="77777777" w:rsidR="002149D3" w:rsidRPr="003F7852" w:rsidRDefault="002149D3" w:rsidP="00430D9B">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69204587"/>
            <w:r w:rsidRPr="003F7852">
              <w:rPr>
                <w:rFonts w:ascii="Times New Roman" w:eastAsia="Times New Roman" w:hAnsi="Times New Roman" w:cs="Times New Roman"/>
                <w:b w:val="0"/>
                <w:bCs w:val="0"/>
                <w:noProof/>
                <w:color w:val="000000" w:themeColor="text1"/>
                <w:sz w:val="24"/>
                <w:szCs w:val="24"/>
                <w:lang w:val="sq-AL" w:eastAsia="sq-AL"/>
              </w:rPr>
              <w:lastRenderedPageBreak/>
              <w:t xml:space="preserve">14. </w:t>
            </w:r>
            <w:r w:rsidRPr="003F7852">
              <w:rPr>
                <w:rFonts w:ascii="Times New Roman" w:eastAsia="Times New Roman" w:hAnsi="Times New Roman" w:cs="Times New Roman"/>
                <w:noProof/>
                <w:color w:val="000000" w:themeColor="text1"/>
                <w:sz w:val="24"/>
                <w:szCs w:val="24"/>
                <w:lang w:val="sq-AL" w:eastAsia="sq-AL"/>
              </w:rPr>
              <w:t>Afatet kohore dhe përpikmëria</w:t>
            </w:r>
            <w:bookmarkEnd w:id="14"/>
          </w:p>
        </w:tc>
      </w:tr>
      <w:tr w:rsidR="00E43898" w:rsidRPr="003F7852" w14:paraId="56248C2C" w14:textId="77777777" w:rsidTr="00DB66EC">
        <w:trPr>
          <w:trHeight w:val="2861"/>
        </w:trPr>
        <w:tc>
          <w:tcPr>
            <w:tcW w:w="2518" w:type="dxa"/>
            <w:shd w:val="clear" w:color="auto" w:fill="FFFFCC"/>
            <w:noWrap/>
            <w:vAlign w:val="center"/>
            <w:hideMark/>
          </w:tcPr>
          <w:p w14:paraId="468C2019" w14:textId="77777777" w:rsidR="00E43898" w:rsidRPr="003F7852" w:rsidRDefault="00E43898" w:rsidP="00430D9B">
            <w:pPr>
              <w:spacing w:after="0"/>
              <w:rPr>
                <w:rFonts w:ascii="Times New Roman" w:eastAsia="Times New Roman" w:hAnsi="Times New Roman" w:cs="Times New Roman"/>
                <w:noProof/>
                <w:color w:val="000000" w:themeColor="text1"/>
                <w:sz w:val="24"/>
                <w:szCs w:val="24"/>
                <w:lang w:val="sq-AL" w:eastAsia="sq-AL"/>
              </w:rPr>
            </w:pPr>
            <w:r w:rsidRPr="003F7852">
              <w:rPr>
                <w:rFonts w:ascii="Times New Roman" w:eastAsia="Times New Roman" w:hAnsi="Times New Roman" w:cs="Times New Roman"/>
                <w:noProof/>
                <w:color w:val="000000" w:themeColor="text1"/>
                <w:sz w:val="24"/>
                <w:szCs w:val="24"/>
                <w:lang w:val="sq-AL" w:eastAsia="sq-AL"/>
              </w:rPr>
              <w:t>14.1. Afatet kohore </w:t>
            </w:r>
          </w:p>
        </w:tc>
        <w:tc>
          <w:tcPr>
            <w:tcW w:w="8164" w:type="dxa"/>
            <w:shd w:val="clear" w:color="auto" w:fill="auto"/>
            <w:vAlign w:val="center"/>
          </w:tcPr>
          <w:p w14:paraId="08B8272B" w14:textId="373BBA0D" w:rsidR="00E43898" w:rsidRPr="009C647C" w:rsidRDefault="00E31FED" w:rsidP="00E31FED">
            <w:pPr>
              <w:spacing w:before="240"/>
              <w:jc w:val="both"/>
              <w:rPr>
                <w:rFonts w:ascii="Times New Roman" w:eastAsia="Times New Roman" w:hAnsi="Times New Roman" w:cs="Times New Roman"/>
                <w:noProof/>
                <w:color w:val="FF0000"/>
                <w:sz w:val="24"/>
                <w:szCs w:val="24"/>
                <w:lang w:val="sq-AL" w:eastAsia="sq-AL"/>
              </w:rPr>
            </w:pPr>
            <w:r w:rsidRPr="009C647C">
              <w:rPr>
                <w:rFonts w:ascii="Times New Roman" w:eastAsia="Times New Roman" w:hAnsi="Times New Roman" w:cs="Times New Roman"/>
                <w:noProof/>
                <w:color w:val="000000"/>
                <w:sz w:val="24"/>
                <w:szCs w:val="24"/>
                <w:lang w:val="sq-AL" w:eastAsia="sq-AL"/>
              </w:rPr>
              <w:t>Rezultatet e Anketës së</w:t>
            </w:r>
            <w:r w:rsidR="00EB6363" w:rsidRPr="009C647C">
              <w:rPr>
                <w:rFonts w:ascii="Times New Roman" w:eastAsia="Times New Roman" w:hAnsi="Times New Roman" w:cs="Times New Roman"/>
                <w:noProof/>
                <w:color w:val="000000"/>
                <w:sz w:val="24"/>
                <w:szCs w:val="24"/>
                <w:lang w:val="sq-AL" w:eastAsia="sq-AL"/>
              </w:rPr>
              <w:t xml:space="preserve"> Strukturave S</w:t>
            </w:r>
            <w:r w:rsidRPr="009C647C">
              <w:rPr>
                <w:rFonts w:ascii="Times New Roman" w:eastAsia="Times New Roman" w:hAnsi="Times New Roman" w:cs="Times New Roman"/>
                <w:noProof/>
                <w:color w:val="000000"/>
                <w:sz w:val="24"/>
                <w:szCs w:val="24"/>
                <w:lang w:val="sq-AL" w:eastAsia="sq-AL"/>
              </w:rPr>
              <w:t xml:space="preserve">komoduese publikohen në faqen e internetit të INSTAT </w:t>
            </w:r>
            <w:r w:rsidR="00421CEC" w:rsidRPr="009C647C">
              <w:rPr>
                <w:rFonts w:ascii="Times New Roman" w:eastAsia="Times New Roman" w:hAnsi="Times New Roman" w:cs="Times New Roman"/>
                <w:noProof/>
                <w:color w:val="000000"/>
                <w:sz w:val="24"/>
                <w:szCs w:val="24"/>
                <w:lang w:val="sq-AL" w:eastAsia="sq-AL"/>
              </w:rPr>
              <w:t>50</w:t>
            </w:r>
            <w:r w:rsidRPr="009C647C">
              <w:rPr>
                <w:rFonts w:ascii="Times New Roman" w:eastAsia="Times New Roman" w:hAnsi="Times New Roman" w:cs="Times New Roman"/>
                <w:noProof/>
                <w:color w:val="000000"/>
                <w:sz w:val="24"/>
                <w:szCs w:val="24"/>
                <w:lang w:val="sq-AL" w:eastAsia="sq-AL"/>
              </w:rPr>
              <w:t xml:space="preserve"> ditë pas përfundim</w:t>
            </w:r>
            <w:r w:rsidR="00421CEC" w:rsidRPr="009C647C">
              <w:rPr>
                <w:rFonts w:ascii="Times New Roman" w:eastAsia="Times New Roman" w:hAnsi="Times New Roman" w:cs="Times New Roman"/>
                <w:noProof/>
                <w:color w:val="000000"/>
                <w:sz w:val="24"/>
                <w:szCs w:val="24"/>
                <w:lang w:val="sq-AL" w:eastAsia="sq-AL"/>
              </w:rPr>
              <w:t>it të periudhës referuese (T + 50</w:t>
            </w:r>
            <w:r w:rsidRPr="009C647C">
              <w:rPr>
                <w:rFonts w:ascii="Times New Roman" w:eastAsia="Times New Roman" w:hAnsi="Times New Roman" w:cs="Times New Roman"/>
                <w:noProof/>
                <w:color w:val="000000"/>
                <w:sz w:val="24"/>
                <w:szCs w:val="24"/>
                <w:lang w:val="sq-AL" w:eastAsia="sq-AL"/>
              </w:rPr>
              <w:t xml:space="preserve"> ditë). </w:t>
            </w:r>
            <w:r w:rsidR="00EB6363" w:rsidRPr="009C647C">
              <w:rPr>
                <w:rFonts w:ascii="Times New Roman" w:eastAsia="Times New Roman" w:hAnsi="Times New Roman" w:cs="Times New Roman"/>
                <w:noProof/>
                <w:color w:val="000000"/>
                <w:sz w:val="24"/>
                <w:szCs w:val="24"/>
                <w:lang w:val="sq-AL" w:eastAsia="sq-AL"/>
              </w:rPr>
              <w:t>Periudha e referencës</w:t>
            </w:r>
            <w:r w:rsidRPr="009C647C">
              <w:rPr>
                <w:rFonts w:ascii="Times New Roman" w:eastAsia="Times New Roman" w:hAnsi="Times New Roman" w:cs="Times New Roman"/>
                <w:noProof/>
                <w:color w:val="000000"/>
                <w:sz w:val="24"/>
                <w:szCs w:val="24"/>
                <w:lang w:val="sq-AL" w:eastAsia="sq-AL"/>
              </w:rPr>
              <w:t xml:space="preserve"> të rezultateve </w:t>
            </w:r>
            <w:r w:rsidR="00EB6363" w:rsidRPr="009C647C">
              <w:rPr>
                <w:rFonts w:ascii="Times New Roman" w:eastAsia="Times New Roman" w:hAnsi="Times New Roman" w:cs="Times New Roman"/>
                <w:noProof/>
                <w:color w:val="000000"/>
                <w:sz w:val="24"/>
                <w:szCs w:val="24"/>
                <w:lang w:val="sq-AL" w:eastAsia="sq-AL"/>
              </w:rPr>
              <w:t xml:space="preserve">të Anketës së Strukturave Akomoduese </w:t>
            </w:r>
            <w:r w:rsidRPr="009C647C">
              <w:rPr>
                <w:rFonts w:ascii="Times New Roman" w:eastAsia="Times New Roman" w:hAnsi="Times New Roman" w:cs="Times New Roman"/>
                <w:noProof/>
                <w:color w:val="000000"/>
                <w:sz w:val="24"/>
                <w:szCs w:val="24"/>
                <w:lang w:val="sq-AL" w:eastAsia="sq-AL"/>
              </w:rPr>
              <w:t xml:space="preserve">është </w:t>
            </w:r>
            <w:r w:rsidR="002A3BD8" w:rsidRPr="009C647C">
              <w:rPr>
                <w:rFonts w:ascii="Times New Roman" w:eastAsia="Times New Roman" w:hAnsi="Times New Roman" w:cs="Times New Roman"/>
                <w:noProof/>
                <w:color w:val="000000"/>
                <w:sz w:val="24"/>
                <w:szCs w:val="24"/>
                <w:lang w:val="sq-AL" w:eastAsia="sq-AL"/>
              </w:rPr>
              <w:t>31 Dhjetor,</w:t>
            </w:r>
            <w:r w:rsidRPr="009C647C">
              <w:rPr>
                <w:rFonts w:ascii="Times New Roman" w:eastAsia="Times New Roman" w:hAnsi="Times New Roman" w:cs="Times New Roman"/>
                <w:noProof/>
                <w:color w:val="000000"/>
                <w:sz w:val="24"/>
                <w:szCs w:val="24"/>
                <w:lang w:val="sq-AL" w:eastAsia="sq-AL"/>
              </w:rPr>
              <w:t xml:space="preserve"> 20</w:t>
            </w:r>
            <w:r w:rsidR="00AD32DB" w:rsidRPr="009C647C">
              <w:rPr>
                <w:rFonts w:ascii="Times New Roman" w:eastAsia="Times New Roman" w:hAnsi="Times New Roman" w:cs="Times New Roman"/>
                <w:noProof/>
                <w:color w:val="000000"/>
                <w:sz w:val="24"/>
                <w:szCs w:val="24"/>
                <w:lang w:val="sq-AL" w:eastAsia="sq-AL"/>
              </w:rPr>
              <w:t>20</w:t>
            </w:r>
            <w:r w:rsidRPr="009C647C">
              <w:rPr>
                <w:rFonts w:ascii="Times New Roman" w:eastAsia="Times New Roman" w:hAnsi="Times New Roman" w:cs="Times New Roman"/>
                <w:noProof/>
                <w:color w:val="000000"/>
                <w:sz w:val="24"/>
                <w:szCs w:val="24"/>
                <w:lang w:val="sq-AL" w:eastAsia="sq-AL"/>
              </w:rPr>
              <w:t>.</w:t>
            </w:r>
          </w:p>
          <w:tbl>
            <w:tblPr>
              <w:tblW w:w="3400" w:type="dxa"/>
              <w:tblLayout w:type="fixed"/>
              <w:tblLook w:val="04A0" w:firstRow="1" w:lastRow="0" w:firstColumn="1" w:lastColumn="0" w:noHBand="0" w:noVBand="1"/>
            </w:tblPr>
            <w:tblGrid>
              <w:gridCol w:w="1970"/>
              <w:gridCol w:w="1430"/>
            </w:tblGrid>
            <w:tr w:rsidR="00EB6363" w:rsidRPr="009C647C" w14:paraId="5B1C7827" w14:textId="77777777" w:rsidTr="00D5060F">
              <w:trPr>
                <w:trHeight w:val="300"/>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3460F" w14:textId="77777777" w:rsidR="00EB6363" w:rsidRPr="009C647C" w:rsidRDefault="007555E9" w:rsidP="00EB6363">
                  <w:pPr>
                    <w:spacing w:after="0" w:line="240" w:lineRule="auto"/>
                    <w:rPr>
                      <w:rFonts w:ascii="Times New Roman" w:eastAsia="Times New Roman" w:hAnsi="Times New Roman" w:cs="Times New Roman"/>
                      <w:color w:val="000000"/>
                      <w:lang w:val="sq-AL"/>
                    </w:rPr>
                  </w:pPr>
                  <w:r w:rsidRPr="009C647C">
                    <w:rPr>
                      <w:rFonts w:ascii="Times New Roman" w:eastAsia="Times New Roman" w:hAnsi="Times New Roman" w:cs="Times New Roman"/>
                      <w:color w:val="000000"/>
                      <w:lang w:val="sq-AL"/>
                    </w:rPr>
                    <w:t>Periudha referuese</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D637216" w14:textId="5688B1B6" w:rsidR="00EB6363" w:rsidRPr="009C647C" w:rsidRDefault="00EB6363" w:rsidP="00AD32DB">
                  <w:pPr>
                    <w:spacing w:after="0" w:line="240" w:lineRule="auto"/>
                    <w:jc w:val="right"/>
                    <w:rPr>
                      <w:rFonts w:ascii="Times New Roman" w:eastAsia="Times New Roman" w:hAnsi="Times New Roman" w:cs="Times New Roman"/>
                      <w:color w:val="000000"/>
                      <w:sz w:val="24"/>
                      <w:szCs w:val="24"/>
                      <w:lang w:val="sq-AL"/>
                    </w:rPr>
                  </w:pPr>
                  <w:r w:rsidRPr="009C647C">
                    <w:rPr>
                      <w:rFonts w:ascii="Times New Roman" w:eastAsia="Times New Roman" w:hAnsi="Times New Roman" w:cs="Times New Roman"/>
                      <w:color w:val="000000"/>
                      <w:sz w:val="24"/>
                      <w:szCs w:val="24"/>
                      <w:lang w:val="sq-AL"/>
                    </w:rPr>
                    <w:t>12/31/20</w:t>
                  </w:r>
                  <w:r w:rsidR="00AD32DB" w:rsidRPr="009C647C">
                    <w:rPr>
                      <w:rFonts w:ascii="Times New Roman" w:eastAsia="Times New Roman" w:hAnsi="Times New Roman" w:cs="Times New Roman"/>
                      <w:color w:val="000000"/>
                      <w:sz w:val="24"/>
                      <w:szCs w:val="24"/>
                      <w:lang w:val="sq-AL"/>
                    </w:rPr>
                    <w:t>20</w:t>
                  </w:r>
                </w:p>
              </w:tc>
            </w:tr>
            <w:tr w:rsidR="00EB6363" w:rsidRPr="009C647C" w14:paraId="647672C2" w14:textId="77777777" w:rsidTr="00D5060F">
              <w:trPr>
                <w:trHeight w:val="300"/>
              </w:trPr>
              <w:tc>
                <w:tcPr>
                  <w:tcW w:w="1970" w:type="dxa"/>
                  <w:tcBorders>
                    <w:top w:val="nil"/>
                    <w:left w:val="single" w:sz="4" w:space="0" w:color="auto"/>
                    <w:bottom w:val="single" w:sz="4" w:space="0" w:color="auto"/>
                    <w:right w:val="single" w:sz="4" w:space="0" w:color="auto"/>
                  </w:tcBorders>
                  <w:shd w:val="clear" w:color="auto" w:fill="auto"/>
                  <w:vAlign w:val="center"/>
                  <w:hideMark/>
                </w:tcPr>
                <w:p w14:paraId="6E3A58EA" w14:textId="77777777" w:rsidR="00EB6363" w:rsidRPr="009C647C" w:rsidRDefault="00EB6363" w:rsidP="00EB6363">
                  <w:pPr>
                    <w:spacing w:after="0" w:line="240" w:lineRule="auto"/>
                    <w:rPr>
                      <w:rFonts w:ascii="Times New Roman" w:eastAsia="Times New Roman" w:hAnsi="Times New Roman" w:cs="Times New Roman"/>
                      <w:color w:val="000000"/>
                      <w:lang w:val="sq-AL"/>
                    </w:rPr>
                  </w:pPr>
                  <w:r w:rsidRPr="009C647C">
                    <w:rPr>
                      <w:rFonts w:ascii="Times New Roman" w:eastAsia="Times New Roman" w:hAnsi="Times New Roman" w:cs="Times New Roman"/>
                      <w:color w:val="000000"/>
                      <w:lang w:val="sq-AL"/>
                    </w:rPr>
                    <w:t>Data e publikimit</w:t>
                  </w:r>
                </w:p>
              </w:tc>
              <w:tc>
                <w:tcPr>
                  <w:tcW w:w="1430" w:type="dxa"/>
                  <w:tcBorders>
                    <w:top w:val="nil"/>
                    <w:left w:val="nil"/>
                    <w:bottom w:val="single" w:sz="4" w:space="0" w:color="auto"/>
                    <w:right w:val="single" w:sz="4" w:space="0" w:color="auto"/>
                  </w:tcBorders>
                  <w:shd w:val="clear" w:color="auto" w:fill="auto"/>
                  <w:noWrap/>
                  <w:vAlign w:val="center"/>
                  <w:hideMark/>
                </w:tcPr>
                <w:p w14:paraId="4F7206A9" w14:textId="29AE685E" w:rsidR="00EB6363" w:rsidRPr="009C647C" w:rsidRDefault="00AD32DB" w:rsidP="00AD32DB">
                  <w:pPr>
                    <w:spacing w:after="0" w:line="240" w:lineRule="auto"/>
                    <w:jc w:val="right"/>
                    <w:rPr>
                      <w:rFonts w:ascii="Times New Roman" w:eastAsia="Times New Roman" w:hAnsi="Times New Roman" w:cs="Times New Roman"/>
                      <w:color w:val="000000"/>
                      <w:sz w:val="24"/>
                      <w:szCs w:val="24"/>
                      <w:lang w:val="sq-AL"/>
                    </w:rPr>
                  </w:pPr>
                  <w:r w:rsidRPr="00EB5303">
                    <w:rPr>
                      <w:rFonts w:ascii="Times New Roman" w:eastAsia="Times New Roman" w:hAnsi="Times New Roman" w:cs="Times New Roman"/>
                      <w:color w:val="000000"/>
                      <w:sz w:val="24"/>
                      <w:szCs w:val="24"/>
                      <w:lang w:val="sq-AL"/>
                    </w:rPr>
                    <w:t>2/19</w:t>
                  </w:r>
                  <w:r w:rsidR="00EB6363" w:rsidRPr="00EB5303">
                    <w:rPr>
                      <w:rFonts w:ascii="Times New Roman" w:eastAsia="Times New Roman" w:hAnsi="Times New Roman" w:cs="Times New Roman"/>
                      <w:color w:val="000000"/>
                      <w:sz w:val="24"/>
                      <w:szCs w:val="24"/>
                      <w:lang w:val="sq-AL"/>
                    </w:rPr>
                    <w:t>/202</w:t>
                  </w:r>
                  <w:r w:rsidRPr="00EB5303">
                    <w:rPr>
                      <w:rFonts w:ascii="Times New Roman" w:eastAsia="Times New Roman" w:hAnsi="Times New Roman" w:cs="Times New Roman"/>
                      <w:color w:val="000000"/>
                      <w:sz w:val="24"/>
                      <w:szCs w:val="24"/>
                      <w:lang w:val="sq-AL"/>
                    </w:rPr>
                    <w:t>1</w:t>
                  </w:r>
                </w:p>
              </w:tc>
            </w:tr>
            <w:tr w:rsidR="00EB6363" w:rsidRPr="009C647C" w14:paraId="51D24371" w14:textId="77777777" w:rsidTr="00D5060F">
              <w:trPr>
                <w:trHeight w:val="300"/>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14:paraId="2F1D75DD" w14:textId="77777777" w:rsidR="00EB6363" w:rsidRPr="009C647C" w:rsidRDefault="007555E9" w:rsidP="00EB6363">
                  <w:pPr>
                    <w:spacing w:after="0" w:line="240" w:lineRule="auto"/>
                    <w:rPr>
                      <w:rFonts w:ascii="Times New Roman" w:eastAsia="Times New Roman" w:hAnsi="Times New Roman" w:cs="Times New Roman"/>
                      <w:color w:val="000000"/>
                      <w:lang w:val="sq-AL"/>
                    </w:rPr>
                  </w:pPr>
                  <w:r w:rsidRPr="009C647C">
                    <w:rPr>
                      <w:rFonts w:ascii="Times New Roman" w:eastAsia="Times New Roman" w:hAnsi="Times New Roman" w:cs="Times New Roman"/>
                      <w:color w:val="000000"/>
                      <w:lang w:val="sq-AL"/>
                    </w:rPr>
                    <w:t>Afatet kohore</w:t>
                  </w:r>
                </w:p>
              </w:tc>
              <w:tc>
                <w:tcPr>
                  <w:tcW w:w="1430" w:type="dxa"/>
                  <w:tcBorders>
                    <w:top w:val="nil"/>
                    <w:left w:val="nil"/>
                    <w:bottom w:val="single" w:sz="4" w:space="0" w:color="auto"/>
                    <w:right w:val="single" w:sz="4" w:space="0" w:color="auto"/>
                  </w:tcBorders>
                  <w:shd w:val="clear" w:color="auto" w:fill="auto"/>
                  <w:noWrap/>
                  <w:vAlign w:val="bottom"/>
                  <w:hideMark/>
                </w:tcPr>
                <w:p w14:paraId="183F5CA7" w14:textId="3CB25C86" w:rsidR="00EB6363" w:rsidRPr="009C647C" w:rsidRDefault="00421CEC" w:rsidP="00271414">
                  <w:pPr>
                    <w:spacing w:after="0" w:line="240" w:lineRule="auto"/>
                    <w:jc w:val="right"/>
                    <w:rPr>
                      <w:rFonts w:ascii="Times New Roman" w:eastAsia="Times New Roman" w:hAnsi="Times New Roman" w:cs="Times New Roman"/>
                      <w:color w:val="000000"/>
                      <w:lang w:val="sq-AL"/>
                    </w:rPr>
                  </w:pPr>
                  <w:r w:rsidRPr="009C647C">
                    <w:rPr>
                      <w:rFonts w:ascii="Times New Roman" w:eastAsia="Times New Roman" w:hAnsi="Times New Roman" w:cs="Times New Roman"/>
                      <w:color w:val="000000"/>
                      <w:lang w:val="sq-AL"/>
                    </w:rPr>
                    <w:t>50</w:t>
                  </w:r>
                </w:p>
              </w:tc>
            </w:tr>
          </w:tbl>
          <w:p w14:paraId="0A72188D" w14:textId="77777777" w:rsidR="00EB6363" w:rsidRPr="009C647C" w:rsidRDefault="00EB6363" w:rsidP="00E31FED">
            <w:pPr>
              <w:spacing w:before="240"/>
              <w:jc w:val="both"/>
              <w:rPr>
                <w:rFonts w:ascii="Times New Roman" w:eastAsia="Times New Roman" w:hAnsi="Times New Roman" w:cs="Times New Roman"/>
                <w:noProof/>
                <w:color w:val="000000"/>
                <w:sz w:val="24"/>
                <w:szCs w:val="24"/>
                <w:lang w:val="sq-AL" w:eastAsia="sq-AL"/>
              </w:rPr>
            </w:pPr>
          </w:p>
        </w:tc>
      </w:tr>
      <w:tr w:rsidR="00E43898" w:rsidRPr="003F7852" w14:paraId="57C9AB66" w14:textId="77777777" w:rsidTr="00A57178">
        <w:trPr>
          <w:trHeight w:val="2870"/>
        </w:trPr>
        <w:tc>
          <w:tcPr>
            <w:tcW w:w="2518" w:type="dxa"/>
            <w:shd w:val="clear" w:color="auto" w:fill="FFFFCC"/>
            <w:noWrap/>
            <w:vAlign w:val="center"/>
            <w:hideMark/>
          </w:tcPr>
          <w:p w14:paraId="5322619B" w14:textId="77777777" w:rsidR="00E43898" w:rsidRPr="003F7852" w:rsidRDefault="00E43898" w:rsidP="00430D9B">
            <w:pPr>
              <w:spacing w:after="0"/>
              <w:rPr>
                <w:rFonts w:ascii="Times New Roman" w:eastAsia="Times New Roman" w:hAnsi="Times New Roman" w:cs="Times New Roman"/>
                <w:bCs/>
                <w:noProof/>
                <w:color w:val="000000" w:themeColor="text1"/>
                <w:sz w:val="24"/>
                <w:szCs w:val="24"/>
                <w:lang w:val="sq-AL" w:eastAsia="sq-AL"/>
              </w:rPr>
            </w:pPr>
            <w:r w:rsidRPr="003F7852">
              <w:rPr>
                <w:rFonts w:ascii="Times New Roman" w:eastAsia="Times New Roman" w:hAnsi="Times New Roman" w:cs="Times New Roman"/>
                <w:noProof/>
                <w:color w:val="000000" w:themeColor="text1"/>
                <w:sz w:val="24"/>
                <w:szCs w:val="24"/>
                <w:lang w:val="sq-AL" w:eastAsia="sq-AL"/>
              </w:rPr>
              <w:t xml:space="preserve">14.2. </w:t>
            </w:r>
            <w:r w:rsidRPr="003F7852">
              <w:rPr>
                <w:rFonts w:ascii="Times New Roman" w:eastAsia="Times New Roman" w:hAnsi="Times New Roman" w:cs="Times New Roman"/>
                <w:bCs/>
                <w:noProof/>
                <w:color w:val="000000" w:themeColor="text1"/>
                <w:sz w:val="24"/>
                <w:szCs w:val="24"/>
                <w:lang w:val="sq-AL" w:eastAsia="sq-AL"/>
              </w:rPr>
              <w:t>Përpikmëria</w:t>
            </w:r>
          </w:p>
        </w:tc>
        <w:tc>
          <w:tcPr>
            <w:tcW w:w="8164" w:type="dxa"/>
            <w:shd w:val="clear" w:color="auto" w:fill="auto"/>
            <w:vAlign w:val="center"/>
          </w:tcPr>
          <w:p w14:paraId="6907472E" w14:textId="7D832EFC" w:rsidR="00E43898" w:rsidRPr="003F7852" w:rsidRDefault="00EB6363" w:rsidP="00EB6363">
            <w:pPr>
              <w:spacing w:before="240"/>
              <w:jc w:val="both"/>
              <w:rPr>
                <w:rFonts w:ascii="Times New Roman" w:eastAsia="Times New Roman" w:hAnsi="Times New Roman" w:cs="Times New Roman"/>
                <w:noProof/>
                <w:color w:val="FF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Të dhënat e Anketës së Strukturave Skomoduese janë publikuar sipas kalendarit të botimit. Publikimi i Anketës së </w:t>
            </w:r>
            <w:r w:rsidRPr="00BD3CFE">
              <w:rPr>
                <w:rFonts w:ascii="Times New Roman" w:eastAsia="Times New Roman" w:hAnsi="Times New Roman" w:cs="Times New Roman"/>
                <w:noProof/>
                <w:color w:val="000000"/>
                <w:sz w:val="24"/>
                <w:szCs w:val="24"/>
                <w:lang w:val="sq-AL" w:eastAsia="sq-AL"/>
              </w:rPr>
              <w:t xml:space="preserve">Strukturave </w:t>
            </w:r>
            <w:r w:rsidR="00BD3CFE" w:rsidRPr="00BD3CFE">
              <w:rPr>
                <w:rFonts w:ascii="Times New Roman" w:eastAsia="Times New Roman" w:hAnsi="Times New Roman" w:cs="Times New Roman"/>
                <w:noProof/>
                <w:color w:val="000000"/>
                <w:sz w:val="24"/>
                <w:szCs w:val="24"/>
                <w:lang w:val="sq-AL" w:eastAsia="sq-AL"/>
              </w:rPr>
              <w:t>A</w:t>
            </w:r>
            <w:r w:rsidRPr="00BD3CFE">
              <w:rPr>
                <w:rFonts w:ascii="Times New Roman" w:eastAsia="Times New Roman" w:hAnsi="Times New Roman" w:cs="Times New Roman"/>
                <w:noProof/>
                <w:color w:val="000000"/>
                <w:sz w:val="24"/>
                <w:szCs w:val="24"/>
                <w:lang w:val="sq-AL" w:eastAsia="sq-AL"/>
              </w:rPr>
              <w:t>komoduese</w:t>
            </w:r>
            <w:r w:rsidRPr="003F7852">
              <w:rPr>
                <w:rFonts w:ascii="Times New Roman" w:eastAsia="Times New Roman" w:hAnsi="Times New Roman" w:cs="Times New Roman"/>
                <w:noProof/>
                <w:color w:val="000000"/>
                <w:sz w:val="24"/>
                <w:szCs w:val="24"/>
                <w:lang w:val="sq-AL" w:eastAsia="sq-AL"/>
              </w:rPr>
              <w:t xml:space="preserve"> ka qenë i përpiktë në kohë në 100%</w:t>
            </w:r>
            <w:r w:rsidR="002A3BD8">
              <w:rPr>
                <w:rFonts w:ascii="Times New Roman" w:eastAsia="Times New Roman" w:hAnsi="Times New Roman" w:cs="Times New Roman"/>
                <w:noProof/>
                <w:color w:val="000000"/>
                <w:sz w:val="24"/>
                <w:szCs w:val="24"/>
                <w:lang w:val="sq-AL" w:eastAsia="sq-AL"/>
              </w:rPr>
              <w:t xml:space="preserve"> </w:t>
            </w:r>
            <w:r w:rsidR="002A3BD8" w:rsidRPr="002A3BD8">
              <w:rPr>
                <w:rFonts w:ascii="Times New Roman" w:eastAsia="Times New Roman" w:hAnsi="Times New Roman" w:cs="Times New Roman"/>
                <w:noProof/>
                <w:color w:val="000000"/>
                <w:sz w:val="24"/>
                <w:szCs w:val="24"/>
                <w:lang w:val="sq-AL" w:eastAsia="sq-AL"/>
              </w:rPr>
              <w:t xml:space="preserve">të botimeve të kryera </w:t>
            </w:r>
            <w:r w:rsidR="002A3BD8">
              <w:rPr>
                <w:rFonts w:ascii="Times New Roman" w:eastAsia="Times New Roman" w:hAnsi="Times New Roman" w:cs="Times New Roman"/>
                <w:noProof/>
                <w:color w:val="000000"/>
                <w:sz w:val="24"/>
                <w:szCs w:val="24"/>
                <w:lang w:val="sq-AL" w:eastAsia="sq-AL"/>
              </w:rPr>
              <w:t>gjatë vitit</w:t>
            </w:r>
            <w:r w:rsidR="00F27867" w:rsidRPr="00F27867">
              <w:rPr>
                <w:rFonts w:ascii="Times New Roman" w:eastAsia="Times New Roman" w:hAnsi="Times New Roman" w:cs="Times New Roman"/>
                <w:noProof/>
                <w:color w:val="000000"/>
                <w:sz w:val="24"/>
                <w:szCs w:val="24"/>
                <w:lang w:val="sq-AL" w:eastAsia="sq-AL"/>
              </w:rPr>
              <w:t>.</w:t>
            </w:r>
          </w:p>
          <w:tbl>
            <w:tblPr>
              <w:tblW w:w="3410" w:type="dxa"/>
              <w:tblLayout w:type="fixed"/>
              <w:tblLook w:val="04A0" w:firstRow="1" w:lastRow="0" w:firstColumn="1" w:lastColumn="0" w:noHBand="0" w:noVBand="1"/>
            </w:tblPr>
            <w:tblGrid>
              <w:gridCol w:w="1980"/>
              <w:gridCol w:w="1430"/>
            </w:tblGrid>
            <w:tr w:rsidR="00EB6363" w:rsidRPr="003F7852" w14:paraId="0E63D661" w14:textId="77777777" w:rsidTr="00D5060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A1AD" w14:textId="77777777" w:rsidR="00EB6363" w:rsidRPr="003F7852" w:rsidRDefault="007555E9" w:rsidP="00271414">
                  <w:pPr>
                    <w:spacing w:after="0" w:line="240" w:lineRule="auto"/>
                    <w:rPr>
                      <w:rFonts w:ascii="Times New Roman" w:eastAsia="Times New Roman" w:hAnsi="Times New Roman" w:cs="Times New Roman"/>
                      <w:color w:val="000000"/>
                      <w:sz w:val="24"/>
                      <w:szCs w:val="24"/>
                      <w:lang w:val="sq-AL"/>
                    </w:rPr>
                  </w:pPr>
                  <w:r w:rsidRPr="007555E9">
                    <w:rPr>
                      <w:rFonts w:ascii="Times New Roman" w:eastAsia="Times New Roman" w:hAnsi="Times New Roman" w:cs="Times New Roman"/>
                      <w:color w:val="000000"/>
                      <w:lang w:val="sq-AL"/>
                    </w:rPr>
                    <w:t>Periudha referuese</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2414E41" w14:textId="77D4653E" w:rsidR="00EB6363" w:rsidRPr="003F7852" w:rsidRDefault="00EB6363" w:rsidP="00AD32DB">
                  <w:pPr>
                    <w:spacing w:after="0" w:line="240" w:lineRule="auto"/>
                    <w:jc w:val="right"/>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12/31/20</w:t>
                  </w:r>
                  <w:r w:rsidR="00AD32DB">
                    <w:rPr>
                      <w:rFonts w:ascii="Times New Roman" w:eastAsia="Times New Roman" w:hAnsi="Times New Roman" w:cs="Times New Roman"/>
                      <w:color w:val="000000"/>
                      <w:sz w:val="24"/>
                      <w:szCs w:val="24"/>
                      <w:lang w:val="sq-AL"/>
                    </w:rPr>
                    <w:t>20</w:t>
                  </w:r>
                </w:p>
              </w:tc>
            </w:tr>
            <w:tr w:rsidR="00EB6363" w:rsidRPr="003F7852" w14:paraId="5E6F006A" w14:textId="77777777" w:rsidTr="00D5060F">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723F4A6" w14:textId="77777777" w:rsidR="00EB6363" w:rsidRPr="003F7852" w:rsidRDefault="007555E9" w:rsidP="00EB6363">
                  <w:pPr>
                    <w:spacing w:after="0" w:line="240" w:lineRule="auto"/>
                    <w:rPr>
                      <w:rFonts w:ascii="Times New Roman" w:eastAsia="Times New Roman" w:hAnsi="Times New Roman" w:cs="Times New Roman"/>
                      <w:color w:val="000000"/>
                      <w:sz w:val="24"/>
                      <w:szCs w:val="24"/>
                      <w:lang w:val="sq-AL"/>
                    </w:rPr>
                  </w:pPr>
                  <w:r w:rsidRPr="007555E9">
                    <w:rPr>
                      <w:rFonts w:ascii="Times New Roman" w:eastAsia="Times New Roman" w:hAnsi="Times New Roman" w:cs="Times New Roman"/>
                      <w:color w:val="000000"/>
                      <w:lang w:val="sq-AL"/>
                    </w:rPr>
                    <w:t>Data e shpallur</w:t>
                  </w:r>
                </w:p>
              </w:tc>
              <w:tc>
                <w:tcPr>
                  <w:tcW w:w="1430" w:type="dxa"/>
                  <w:tcBorders>
                    <w:top w:val="nil"/>
                    <w:left w:val="nil"/>
                    <w:bottom w:val="single" w:sz="4" w:space="0" w:color="auto"/>
                    <w:right w:val="single" w:sz="4" w:space="0" w:color="auto"/>
                  </w:tcBorders>
                  <w:shd w:val="clear" w:color="auto" w:fill="auto"/>
                  <w:noWrap/>
                  <w:vAlign w:val="center"/>
                  <w:hideMark/>
                </w:tcPr>
                <w:p w14:paraId="296D3AA1" w14:textId="05853993" w:rsidR="00EB6363" w:rsidRPr="00AC321B" w:rsidRDefault="00AD32DB" w:rsidP="00271414">
                  <w:pPr>
                    <w:spacing w:after="0" w:line="240" w:lineRule="auto"/>
                    <w:jc w:val="right"/>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2/19</w:t>
                  </w:r>
                  <w:r w:rsidRPr="003F7852">
                    <w:rPr>
                      <w:rFonts w:ascii="Times New Roman" w:eastAsia="Times New Roman" w:hAnsi="Times New Roman" w:cs="Times New Roman"/>
                      <w:color w:val="000000"/>
                      <w:sz w:val="24"/>
                      <w:szCs w:val="24"/>
                      <w:lang w:val="sq-AL"/>
                    </w:rPr>
                    <w:t>/202</w:t>
                  </w:r>
                  <w:r>
                    <w:rPr>
                      <w:rFonts w:ascii="Times New Roman" w:eastAsia="Times New Roman" w:hAnsi="Times New Roman" w:cs="Times New Roman"/>
                      <w:color w:val="000000"/>
                      <w:sz w:val="24"/>
                      <w:szCs w:val="24"/>
                      <w:lang w:val="sq-AL"/>
                    </w:rPr>
                    <w:t>1</w:t>
                  </w:r>
                </w:p>
              </w:tc>
            </w:tr>
            <w:tr w:rsidR="00EB6363" w:rsidRPr="003F7852" w14:paraId="7CD048FF" w14:textId="77777777" w:rsidTr="00D5060F">
              <w:trPr>
                <w:trHeight w:val="31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36FB8C0" w14:textId="77777777" w:rsidR="00EB6363" w:rsidRPr="00EB5303" w:rsidRDefault="00EB6363" w:rsidP="00271414">
                  <w:pPr>
                    <w:spacing w:after="0" w:line="240" w:lineRule="auto"/>
                    <w:rPr>
                      <w:rFonts w:ascii="Times New Roman" w:eastAsia="Times New Roman" w:hAnsi="Times New Roman" w:cs="Times New Roman"/>
                      <w:color w:val="000000"/>
                      <w:sz w:val="24"/>
                      <w:szCs w:val="24"/>
                      <w:lang w:val="sq-AL"/>
                    </w:rPr>
                  </w:pPr>
                  <w:r w:rsidRPr="00EB5303">
                    <w:rPr>
                      <w:rFonts w:ascii="Times New Roman" w:eastAsia="Times New Roman" w:hAnsi="Times New Roman" w:cs="Times New Roman"/>
                      <w:color w:val="000000"/>
                      <w:lang w:val="sq-AL"/>
                    </w:rPr>
                    <w:t>Data e publikimit</w:t>
                  </w:r>
                </w:p>
              </w:tc>
              <w:tc>
                <w:tcPr>
                  <w:tcW w:w="1430" w:type="dxa"/>
                  <w:tcBorders>
                    <w:top w:val="nil"/>
                    <w:left w:val="nil"/>
                    <w:bottom w:val="single" w:sz="4" w:space="0" w:color="auto"/>
                    <w:right w:val="single" w:sz="4" w:space="0" w:color="auto"/>
                  </w:tcBorders>
                  <w:shd w:val="clear" w:color="auto" w:fill="auto"/>
                  <w:noWrap/>
                  <w:vAlign w:val="center"/>
                  <w:hideMark/>
                </w:tcPr>
                <w:p w14:paraId="500F7A36" w14:textId="571990C5" w:rsidR="00EB6363" w:rsidRPr="00EB5303" w:rsidRDefault="00AD32DB" w:rsidP="00271414">
                  <w:pPr>
                    <w:spacing w:after="0" w:line="240" w:lineRule="auto"/>
                    <w:jc w:val="right"/>
                    <w:rPr>
                      <w:rFonts w:ascii="Times New Roman" w:eastAsia="Times New Roman" w:hAnsi="Times New Roman" w:cs="Times New Roman"/>
                      <w:color w:val="000000"/>
                      <w:sz w:val="24"/>
                      <w:szCs w:val="24"/>
                      <w:lang w:val="sq-AL"/>
                    </w:rPr>
                  </w:pPr>
                  <w:r w:rsidRPr="00EB5303">
                    <w:rPr>
                      <w:rFonts w:ascii="Times New Roman" w:eastAsia="Times New Roman" w:hAnsi="Times New Roman" w:cs="Times New Roman"/>
                      <w:color w:val="000000"/>
                      <w:sz w:val="24"/>
                      <w:szCs w:val="24"/>
                      <w:lang w:val="sq-AL"/>
                    </w:rPr>
                    <w:t>2/19/2021</w:t>
                  </w:r>
                </w:p>
              </w:tc>
            </w:tr>
            <w:tr w:rsidR="00EB6363" w:rsidRPr="003F7852" w14:paraId="047023E5" w14:textId="77777777" w:rsidTr="00D5060F">
              <w:trPr>
                <w:trHeight w:val="31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8D679B" w14:textId="77777777" w:rsidR="00EB6363" w:rsidRPr="003F7852" w:rsidRDefault="00EB6363" w:rsidP="00271414">
                  <w:pPr>
                    <w:spacing w:after="0" w:line="240" w:lineRule="auto"/>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lang w:val="sq-AL"/>
                    </w:rPr>
                    <w:t>Vonesa në kohë</w:t>
                  </w:r>
                </w:p>
              </w:tc>
              <w:tc>
                <w:tcPr>
                  <w:tcW w:w="1430" w:type="dxa"/>
                  <w:tcBorders>
                    <w:top w:val="nil"/>
                    <w:left w:val="nil"/>
                    <w:bottom w:val="single" w:sz="4" w:space="0" w:color="auto"/>
                    <w:right w:val="single" w:sz="4" w:space="0" w:color="auto"/>
                  </w:tcBorders>
                  <w:shd w:val="clear" w:color="auto" w:fill="auto"/>
                  <w:noWrap/>
                  <w:vAlign w:val="center"/>
                  <w:hideMark/>
                </w:tcPr>
                <w:p w14:paraId="14CC80A6" w14:textId="77777777" w:rsidR="00EB6363" w:rsidRPr="003F7852" w:rsidRDefault="00EB6363" w:rsidP="00271414">
                  <w:pPr>
                    <w:spacing w:after="0" w:line="240" w:lineRule="auto"/>
                    <w:jc w:val="right"/>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0</w:t>
                  </w:r>
                </w:p>
              </w:tc>
            </w:tr>
          </w:tbl>
          <w:p w14:paraId="5D1DB586" w14:textId="77777777" w:rsidR="00EB6363" w:rsidRPr="003F7852" w:rsidRDefault="00EB6363" w:rsidP="00EB6363">
            <w:pPr>
              <w:spacing w:before="240"/>
              <w:jc w:val="both"/>
              <w:rPr>
                <w:rFonts w:ascii="Times New Roman" w:eastAsia="Times New Roman" w:hAnsi="Times New Roman" w:cs="Times New Roman"/>
                <w:noProof/>
                <w:color w:val="000000"/>
                <w:sz w:val="24"/>
                <w:szCs w:val="24"/>
                <w:lang w:val="sq-AL" w:eastAsia="sq-AL"/>
              </w:rPr>
            </w:pPr>
          </w:p>
        </w:tc>
      </w:tr>
      <w:tr w:rsidR="00F80D5E" w:rsidRPr="003F7852" w14:paraId="05DECD51" w14:textId="77777777" w:rsidTr="00C50933">
        <w:trPr>
          <w:trHeight w:val="567"/>
        </w:trPr>
        <w:tc>
          <w:tcPr>
            <w:tcW w:w="10682" w:type="dxa"/>
            <w:gridSpan w:val="2"/>
            <w:shd w:val="clear" w:color="auto" w:fill="FBD4B4" w:themeFill="accent6" w:themeFillTint="66"/>
            <w:noWrap/>
            <w:vAlign w:val="center"/>
            <w:hideMark/>
          </w:tcPr>
          <w:p w14:paraId="6EC13A19" w14:textId="77777777" w:rsidR="00F80D5E" w:rsidRPr="003F7852" w:rsidRDefault="00F80D5E"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69204588"/>
            <w:r w:rsidRPr="003F7852">
              <w:rPr>
                <w:rFonts w:ascii="Times New Roman" w:eastAsia="Times New Roman" w:hAnsi="Times New Roman" w:cs="Times New Roman"/>
                <w:b w:val="0"/>
                <w:bCs w:val="0"/>
                <w:noProof/>
                <w:color w:val="000000"/>
                <w:sz w:val="24"/>
                <w:szCs w:val="24"/>
                <w:lang w:val="sq-AL" w:eastAsia="sq-AL"/>
              </w:rPr>
              <w:t xml:space="preserve">15. </w:t>
            </w:r>
            <w:r w:rsidRPr="003F7852">
              <w:rPr>
                <w:rFonts w:ascii="Times New Roman" w:eastAsia="Times New Roman" w:hAnsi="Times New Roman" w:cs="Times New Roman"/>
                <w:noProof/>
                <w:color w:val="000000" w:themeColor="text1"/>
                <w:sz w:val="24"/>
                <w:szCs w:val="24"/>
                <w:lang w:val="sq-AL" w:eastAsia="sq-AL"/>
              </w:rPr>
              <w:t>Koherenca dhe Krahasueshmëria</w:t>
            </w:r>
            <w:bookmarkEnd w:id="15"/>
          </w:p>
        </w:tc>
      </w:tr>
      <w:tr w:rsidR="00E43898" w:rsidRPr="003F7852" w14:paraId="1FF39310" w14:textId="77777777" w:rsidTr="00C50933">
        <w:trPr>
          <w:trHeight w:val="567"/>
        </w:trPr>
        <w:tc>
          <w:tcPr>
            <w:tcW w:w="2518" w:type="dxa"/>
            <w:shd w:val="clear" w:color="auto" w:fill="FFFFCC"/>
            <w:noWrap/>
            <w:vAlign w:val="center"/>
            <w:hideMark/>
          </w:tcPr>
          <w:p w14:paraId="4F775632"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15.1. Krahasueshmëria gjeografike</w:t>
            </w:r>
          </w:p>
        </w:tc>
        <w:tc>
          <w:tcPr>
            <w:tcW w:w="8164" w:type="dxa"/>
            <w:shd w:val="clear" w:color="auto" w:fill="auto"/>
            <w:vAlign w:val="center"/>
          </w:tcPr>
          <w:p w14:paraId="303297BA" w14:textId="77777777" w:rsidR="00E43898" w:rsidRPr="003F7852" w:rsidRDefault="00EB6363" w:rsidP="00EB6363">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janë plotësisht të krahasueshme. Shiko pikën 3.7</w:t>
            </w:r>
          </w:p>
        </w:tc>
      </w:tr>
      <w:tr w:rsidR="00E43898" w:rsidRPr="003F7852" w14:paraId="0C5188FF" w14:textId="77777777" w:rsidTr="00DB66EC">
        <w:trPr>
          <w:trHeight w:val="2177"/>
        </w:trPr>
        <w:tc>
          <w:tcPr>
            <w:tcW w:w="2518" w:type="dxa"/>
            <w:shd w:val="clear" w:color="auto" w:fill="FFFFCC"/>
            <w:noWrap/>
            <w:vAlign w:val="center"/>
            <w:hideMark/>
          </w:tcPr>
          <w:p w14:paraId="5E5D9425"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15.2. Krahasueshmëria kohore </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408"/>
              <w:gridCol w:w="1530"/>
            </w:tblGrid>
            <w:tr w:rsidR="007975DC" w:rsidRPr="003F7852" w14:paraId="593792C7" w14:textId="77777777" w:rsidTr="006E67C0">
              <w:tc>
                <w:tcPr>
                  <w:tcW w:w="6408" w:type="dxa"/>
                  <w:vAlign w:val="center"/>
                  <w:hideMark/>
                </w:tcPr>
                <w:p w14:paraId="47092648" w14:textId="77777777" w:rsidR="007975DC" w:rsidRPr="003F7852" w:rsidRDefault="007975DC" w:rsidP="006E67C0">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15.2.1 </w:t>
                  </w:r>
                  <w:r w:rsidRPr="003F7852">
                    <w:rPr>
                      <w:rFonts w:ascii="Times New Roman" w:eastAsia="Times New Roman" w:hAnsi="Times New Roman" w:cs="Times New Roman"/>
                      <w:noProof/>
                      <w:color w:val="000000"/>
                      <w:sz w:val="24"/>
                      <w:szCs w:val="24"/>
                      <w:lang w:val="sq-AL" w:eastAsia="sq-AL"/>
                    </w:rPr>
                    <w:t>Hotele dhe akomodime të ngjashme</w:t>
                  </w:r>
                  <w:r w:rsidRPr="003F7852">
                    <w:rPr>
                      <w:rFonts w:ascii="&amp;quot" w:eastAsia="Times New Roman" w:hAnsi="&amp;quot" w:cs="Times New Roman"/>
                      <w:color w:val="000000"/>
                      <w:sz w:val="24"/>
                      <w:szCs w:val="24"/>
                      <w:lang w:val="sq-AL"/>
                    </w:rPr>
                    <w:t xml:space="preserve"> (NACE 55.1)</w:t>
                  </w:r>
                </w:p>
              </w:tc>
              <w:tc>
                <w:tcPr>
                  <w:tcW w:w="1530" w:type="dxa"/>
                  <w:vAlign w:val="center"/>
                  <w:hideMark/>
                </w:tcPr>
                <w:p w14:paraId="450E8600" w14:textId="77777777" w:rsidR="007975DC" w:rsidRPr="003F7852" w:rsidRDefault="007975DC" w:rsidP="006E67C0">
                  <w:pPr>
                    <w:spacing w:before="30" w:after="30"/>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noProof/>
                      <w:color w:val="000000"/>
                      <w:sz w:val="24"/>
                      <w:szCs w:val="24"/>
                      <w:lang w:val="sq-AL" w:eastAsia="sq-AL"/>
                    </w:rPr>
                    <w:t xml:space="preserve">Shiko pikën </w:t>
                  </w:r>
                  <w:r w:rsidRPr="003F7852">
                    <w:rPr>
                      <w:rFonts w:ascii="Times New Roman" w:eastAsia="Times New Roman" w:hAnsi="Times New Roman" w:cs="Times New Roman"/>
                      <w:color w:val="000000"/>
                      <w:sz w:val="24"/>
                      <w:szCs w:val="24"/>
                      <w:lang w:val="sq-AL"/>
                    </w:rPr>
                    <w:t>3.8.1</w:t>
                  </w:r>
                </w:p>
              </w:tc>
            </w:tr>
            <w:tr w:rsidR="007975DC" w:rsidRPr="003F7852" w14:paraId="621D9867" w14:textId="77777777" w:rsidTr="006E67C0">
              <w:tc>
                <w:tcPr>
                  <w:tcW w:w="6408" w:type="dxa"/>
                  <w:vAlign w:val="center"/>
                  <w:hideMark/>
                </w:tcPr>
                <w:p w14:paraId="4406C1E5" w14:textId="77777777" w:rsidR="007975DC" w:rsidRPr="003F7852" w:rsidRDefault="007975DC" w:rsidP="006E67C0">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15.2.2 </w:t>
                  </w:r>
                  <w:r w:rsidRPr="003F7852">
                    <w:rPr>
                      <w:rFonts w:ascii="Times New Roman" w:eastAsia="Times New Roman" w:hAnsi="Times New Roman" w:cs="Times New Roman"/>
                      <w:noProof/>
                      <w:color w:val="000000"/>
                      <w:sz w:val="24"/>
                      <w:szCs w:val="24"/>
                      <w:lang w:val="sq-AL" w:eastAsia="sq-AL"/>
                    </w:rPr>
                    <w:t xml:space="preserve">Akomodime për pushime dhe të tjera akomodime afatshkurtra </w:t>
                  </w:r>
                  <w:r w:rsidRPr="003F7852">
                    <w:rPr>
                      <w:rFonts w:ascii="&amp;quot" w:eastAsia="Times New Roman" w:hAnsi="&amp;quot" w:cs="Times New Roman"/>
                      <w:color w:val="000000"/>
                      <w:sz w:val="24"/>
                      <w:szCs w:val="24"/>
                      <w:lang w:val="sq-AL"/>
                    </w:rPr>
                    <w:t>(NACE 55.2)</w:t>
                  </w:r>
                </w:p>
              </w:tc>
              <w:tc>
                <w:tcPr>
                  <w:tcW w:w="1530" w:type="dxa"/>
                  <w:vAlign w:val="center"/>
                  <w:hideMark/>
                </w:tcPr>
                <w:p w14:paraId="524953B8" w14:textId="77777777" w:rsidR="007975DC" w:rsidRPr="003F7852" w:rsidRDefault="007975DC" w:rsidP="006E67C0">
                  <w:pPr>
                    <w:spacing w:before="30" w:after="30"/>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noProof/>
                      <w:color w:val="000000"/>
                      <w:sz w:val="24"/>
                      <w:szCs w:val="24"/>
                      <w:lang w:val="sq-AL" w:eastAsia="sq-AL"/>
                    </w:rPr>
                    <w:t xml:space="preserve">Shiko pikën </w:t>
                  </w:r>
                  <w:r w:rsidRPr="003F7852">
                    <w:rPr>
                      <w:rFonts w:ascii="Times New Roman" w:eastAsia="Times New Roman" w:hAnsi="Times New Roman" w:cs="Times New Roman"/>
                      <w:color w:val="000000"/>
                      <w:sz w:val="24"/>
                      <w:szCs w:val="24"/>
                      <w:lang w:val="sq-AL"/>
                    </w:rPr>
                    <w:t>3.8.2</w:t>
                  </w:r>
                </w:p>
              </w:tc>
            </w:tr>
            <w:tr w:rsidR="007975DC" w:rsidRPr="003F7852" w14:paraId="192692CC" w14:textId="77777777" w:rsidTr="006E67C0">
              <w:tc>
                <w:tcPr>
                  <w:tcW w:w="6408" w:type="dxa"/>
                  <w:vAlign w:val="center"/>
                  <w:hideMark/>
                </w:tcPr>
                <w:p w14:paraId="246C8A1A" w14:textId="77777777" w:rsidR="007975DC" w:rsidRPr="003F7852" w:rsidRDefault="007975DC" w:rsidP="006E67C0">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15.2.3 </w:t>
                  </w:r>
                  <w:r w:rsidRPr="003F7852">
                    <w:rPr>
                      <w:rFonts w:ascii="Times New Roman" w:eastAsia="Times New Roman" w:hAnsi="Times New Roman" w:cs="Times New Roman"/>
                      <w:sz w:val="24"/>
                      <w:szCs w:val="24"/>
                      <w:lang w:val="sq-AL"/>
                    </w:rPr>
                    <w:t xml:space="preserve">Hapësirat për kampingje dhe për parqe, për çadra ose rulota argëtimi, etj. </w:t>
                  </w:r>
                  <w:r w:rsidRPr="003F7852">
                    <w:rPr>
                      <w:rFonts w:ascii="&amp;quot" w:eastAsia="Times New Roman" w:hAnsi="&amp;quot" w:cs="Times New Roman"/>
                      <w:color w:val="000000"/>
                      <w:sz w:val="24"/>
                      <w:szCs w:val="24"/>
                      <w:lang w:val="sq-AL"/>
                    </w:rPr>
                    <w:t>(NACE 55.3)</w:t>
                  </w:r>
                </w:p>
              </w:tc>
              <w:tc>
                <w:tcPr>
                  <w:tcW w:w="1530" w:type="dxa"/>
                  <w:vAlign w:val="center"/>
                  <w:hideMark/>
                </w:tcPr>
                <w:p w14:paraId="72FAC363" w14:textId="77777777" w:rsidR="007975DC" w:rsidRPr="003F7852" w:rsidRDefault="007975DC" w:rsidP="006E67C0">
                  <w:pPr>
                    <w:spacing w:before="30" w:after="30"/>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noProof/>
                      <w:color w:val="000000"/>
                      <w:sz w:val="24"/>
                      <w:szCs w:val="24"/>
                      <w:lang w:val="sq-AL" w:eastAsia="sq-AL"/>
                    </w:rPr>
                    <w:t xml:space="preserve">Shiko pikën </w:t>
                  </w:r>
                  <w:r w:rsidRPr="003F7852">
                    <w:rPr>
                      <w:rFonts w:ascii="Times New Roman" w:eastAsia="Times New Roman" w:hAnsi="Times New Roman" w:cs="Times New Roman"/>
                      <w:color w:val="000000"/>
                      <w:sz w:val="24"/>
                      <w:szCs w:val="24"/>
                      <w:lang w:val="sq-AL"/>
                    </w:rPr>
                    <w:t>3.8.3</w:t>
                  </w:r>
                </w:p>
              </w:tc>
            </w:tr>
          </w:tbl>
          <w:p w14:paraId="77DA49E3" w14:textId="77777777" w:rsidR="00E43898" w:rsidRPr="003F7852" w:rsidRDefault="00E43898" w:rsidP="00153622">
            <w:pPr>
              <w:spacing w:before="240"/>
              <w:jc w:val="both"/>
              <w:rPr>
                <w:rFonts w:ascii="Times New Roman" w:eastAsia="Times New Roman" w:hAnsi="Times New Roman" w:cs="Times New Roman"/>
                <w:noProof/>
                <w:color w:val="000000"/>
                <w:sz w:val="24"/>
                <w:szCs w:val="24"/>
                <w:lang w:val="sq-AL" w:eastAsia="sq-AL"/>
              </w:rPr>
            </w:pPr>
          </w:p>
        </w:tc>
      </w:tr>
      <w:tr w:rsidR="00B15F7B" w:rsidRPr="003F7852" w14:paraId="022185E7" w14:textId="77777777" w:rsidTr="00DB66EC">
        <w:trPr>
          <w:trHeight w:val="562"/>
        </w:trPr>
        <w:tc>
          <w:tcPr>
            <w:tcW w:w="2518" w:type="dxa"/>
            <w:shd w:val="clear" w:color="auto" w:fill="FFFFCC"/>
            <w:noWrap/>
            <w:vAlign w:val="center"/>
            <w:hideMark/>
          </w:tcPr>
          <w:p w14:paraId="2F01581C" w14:textId="77777777" w:rsidR="0055408D" w:rsidRPr="003F7852" w:rsidRDefault="0055408D"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15.3. Koherenca e ndërthurjes së fushave</w:t>
            </w:r>
          </w:p>
        </w:tc>
        <w:tc>
          <w:tcPr>
            <w:tcW w:w="8164" w:type="dxa"/>
            <w:shd w:val="clear" w:color="auto" w:fill="auto"/>
            <w:noWrap/>
            <w:vAlign w:val="center"/>
            <w:hideMark/>
          </w:tcPr>
          <w:p w14:paraId="619DE9DC" w14:textId="77777777" w:rsidR="0055408D" w:rsidRPr="003F7852" w:rsidRDefault="007975DC" w:rsidP="007975DC">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Nuk ka asnjë burim tjetër të të dhënave të ngjashme për kapacitetin dhe shfrytëzimin e strukturave akomoduese me të cilat mund të bëhen krahasime ose imputime.</w:t>
            </w:r>
          </w:p>
        </w:tc>
      </w:tr>
      <w:tr w:rsidR="003A3944" w:rsidRPr="003F7852" w14:paraId="3E17326C" w14:textId="77777777" w:rsidTr="00DB66EC">
        <w:trPr>
          <w:trHeight w:val="562"/>
        </w:trPr>
        <w:tc>
          <w:tcPr>
            <w:tcW w:w="2518" w:type="dxa"/>
            <w:shd w:val="clear" w:color="auto" w:fill="FFFFCC"/>
            <w:noWrap/>
            <w:vAlign w:val="center"/>
            <w:hideMark/>
          </w:tcPr>
          <w:p w14:paraId="6BF1B98C" w14:textId="77777777" w:rsidR="003A3944" w:rsidRPr="003F7852" w:rsidRDefault="003A3944" w:rsidP="0003619E">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 xml:space="preserve">15.4. Koherenca e brendshme </w:t>
            </w:r>
          </w:p>
        </w:tc>
        <w:tc>
          <w:tcPr>
            <w:tcW w:w="8164" w:type="dxa"/>
            <w:shd w:val="clear" w:color="auto" w:fill="auto"/>
            <w:vAlign w:val="center"/>
          </w:tcPr>
          <w:p w14:paraId="336829C5" w14:textId="77777777" w:rsidR="003A3944" w:rsidRPr="003F7852" w:rsidRDefault="003A3944" w:rsidP="0003619E">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Koherenca midis të dhënave vjetore dhe mujore: Koherenca e plotë.</w:t>
            </w:r>
          </w:p>
        </w:tc>
      </w:tr>
      <w:tr w:rsidR="003A3944" w:rsidRPr="003F7852" w14:paraId="30479EF7" w14:textId="77777777" w:rsidTr="00DB66EC">
        <w:trPr>
          <w:trHeight w:val="2789"/>
        </w:trPr>
        <w:tc>
          <w:tcPr>
            <w:tcW w:w="2518" w:type="dxa"/>
            <w:shd w:val="clear" w:color="auto" w:fill="FBD4B4" w:themeFill="accent6" w:themeFillTint="66"/>
            <w:vAlign w:val="center"/>
            <w:hideMark/>
          </w:tcPr>
          <w:p w14:paraId="1AF63A7E" w14:textId="77777777" w:rsidR="003A3944" w:rsidRPr="003F7852" w:rsidRDefault="003A3944" w:rsidP="0003619E">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69204589"/>
            <w:r w:rsidRPr="003F7852">
              <w:rPr>
                <w:rFonts w:ascii="Times New Roman" w:eastAsia="Times New Roman" w:hAnsi="Times New Roman" w:cs="Times New Roman"/>
                <w:b w:val="0"/>
                <w:bCs w:val="0"/>
                <w:noProof/>
                <w:color w:val="000000"/>
                <w:sz w:val="24"/>
                <w:szCs w:val="24"/>
                <w:lang w:val="sq-AL" w:eastAsia="sq-AL"/>
              </w:rPr>
              <w:t xml:space="preserve">16. </w:t>
            </w:r>
            <w:r w:rsidRPr="003F7852">
              <w:rPr>
                <w:rFonts w:ascii="Times New Roman" w:eastAsia="Times New Roman" w:hAnsi="Times New Roman" w:cs="Times New Roman"/>
                <w:noProof/>
                <w:color w:val="000000" w:themeColor="text1"/>
                <w:sz w:val="24"/>
                <w:szCs w:val="24"/>
                <w:lang w:val="sq-AL" w:eastAsia="sq-AL"/>
              </w:rPr>
              <w:t>Kostoja dhe ngarkesa</w:t>
            </w:r>
            <w:bookmarkEnd w:id="16"/>
          </w:p>
        </w:tc>
        <w:tc>
          <w:tcPr>
            <w:tcW w:w="8164" w:type="dxa"/>
            <w:shd w:val="clear" w:color="auto" w:fill="auto"/>
            <w:vAlign w:val="center"/>
          </w:tcPr>
          <w:p w14:paraId="732EC4C5" w14:textId="77777777" w:rsidR="003A3944" w:rsidRPr="003A15FE" w:rsidRDefault="003A3944" w:rsidP="00D5060F">
            <w:pPr>
              <w:spacing w:before="200" w:after="0"/>
              <w:jc w:val="both"/>
              <w:rPr>
                <w:rFonts w:ascii="Times New Roman" w:eastAsia="Times New Roman" w:hAnsi="Times New Roman" w:cs="Times New Roman"/>
                <w:noProof/>
                <w:color w:val="000000"/>
                <w:sz w:val="24"/>
                <w:szCs w:val="24"/>
                <w:lang w:val="sq-AL" w:eastAsia="sq-AL"/>
              </w:rPr>
            </w:pPr>
            <w:r w:rsidRPr="003A15FE">
              <w:rPr>
                <w:rFonts w:ascii="Times New Roman" w:eastAsia="Times New Roman" w:hAnsi="Times New Roman" w:cs="Times New Roman"/>
                <w:noProof/>
                <w:color w:val="000000"/>
                <w:sz w:val="24"/>
                <w:szCs w:val="24"/>
                <w:lang w:val="sq-AL" w:eastAsia="sq-AL"/>
              </w:rPr>
              <w:t>Personeli që punon për Anketën e Strukturave Akomoduese është:</w:t>
            </w:r>
          </w:p>
          <w:p w14:paraId="643FA0F7"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1 specialist i fushës së turizmit (Sektori i Statistikave Afatshkurtra);</w:t>
            </w:r>
          </w:p>
          <w:p w14:paraId="780F170B"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1 specialist metodologjie (Sektori i Metodologjisë)</w:t>
            </w:r>
          </w:p>
          <w:p w14:paraId="75F3EFBD"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1 specialist IT (Sektori i Zhvillimit të Programeve Kompjuterike)</w:t>
            </w:r>
          </w:p>
          <w:p w14:paraId="2A41117C"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1 specialist (Sektori i Planifikimit dhe Menaxhimit të Mbledhjes të të Dhënave)</w:t>
            </w:r>
          </w:p>
          <w:p w14:paraId="1D488436"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 xml:space="preserve">14 personel nga Zyrat Rajonale, </w:t>
            </w:r>
          </w:p>
          <w:p w14:paraId="0204CE02" w14:textId="77777777" w:rsidR="003A3944" w:rsidRPr="003A15FE" w:rsidRDefault="003A3944" w:rsidP="0003619E">
            <w:pPr>
              <w:pStyle w:val="ListParagraph"/>
              <w:numPr>
                <w:ilvl w:val="0"/>
                <w:numId w:val="42"/>
              </w:numPr>
              <w:jc w:val="both"/>
              <w:rPr>
                <w:noProof/>
                <w:lang w:val="sq-AL" w:eastAsia="sq-AL"/>
              </w:rPr>
            </w:pPr>
            <w:r w:rsidRPr="003A15FE">
              <w:rPr>
                <w:noProof/>
                <w:lang w:val="sq-AL" w:eastAsia="sq-AL"/>
              </w:rPr>
              <w:t xml:space="preserve">20 personel anketues , </w:t>
            </w:r>
          </w:p>
          <w:p w14:paraId="0D5FD3A8" w14:textId="6A58424E" w:rsidR="003A3944" w:rsidRPr="003F7852" w:rsidRDefault="003A3944" w:rsidP="006A29AF">
            <w:pPr>
              <w:pStyle w:val="ListParagraph"/>
              <w:numPr>
                <w:ilvl w:val="0"/>
                <w:numId w:val="42"/>
              </w:numPr>
              <w:spacing w:after="200"/>
              <w:jc w:val="both"/>
              <w:rPr>
                <w:noProof/>
                <w:color w:val="000000"/>
                <w:lang w:val="sq-AL" w:eastAsia="sq-AL"/>
              </w:rPr>
            </w:pPr>
            <w:r w:rsidRPr="003A15FE">
              <w:rPr>
                <w:noProof/>
                <w:lang w:val="sq-AL" w:eastAsia="sq-AL"/>
              </w:rPr>
              <w:t xml:space="preserve">1 </w:t>
            </w:r>
            <w:r w:rsidR="006A29AF">
              <w:rPr>
                <w:noProof/>
                <w:lang w:val="sq-AL" w:eastAsia="sq-AL"/>
              </w:rPr>
              <w:t>k</w:t>
            </w:r>
            <w:r w:rsidR="006A29AF" w:rsidRPr="003A15FE">
              <w:rPr>
                <w:noProof/>
                <w:lang w:val="sq-AL" w:eastAsia="sq-AL"/>
              </w:rPr>
              <w:t>ontrollor</w:t>
            </w:r>
            <w:r w:rsidRPr="003A15FE">
              <w:rPr>
                <w:noProof/>
                <w:lang w:val="sq-AL" w:eastAsia="sq-AL"/>
              </w:rPr>
              <w:t>/</w:t>
            </w:r>
            <w:r w:rsidR="006A29AF">
              <w:rPr>
                <w:noProof/>
                <w:lang w:val="sq-AL" w:eastAsia="sq-AL"/>
              </w:rPr>
              <w:t>o</w:t>
            </w:r>
            <w:r w:rsidR="006A29AF" w:rsidRPr="003A15FE">
              <w:rPr>
                <w:noProof/>
                <w:lang w:val="sq-AL" w:eastAsia="sq-AL"/>
              </w:rPr>
              <w:t xml:space="preserve">perator </w:t>
            </w:r>
            <w:r w:rsidRPr="003A15FE">
              <w:rPr>
                <w:noProof/>
                <w:lang w:val="sq-AL" w:eastAsia="sq-AL"/>
              </w:rPr>
              <w:t>(Sektori i Koordinimit të Mbledhjes të të Dhënave)</w:t>
            </w:r>
          </w:p>
        </w:tc>
      </w:tr>
      <w:tr w:rsidR="007B3C66" w:rsidRPr="003F7852" w14:paraId="3804AB5C" w14:textId="77777777" w:rsidTr="00A57178">
        <w:trPr>
          <w:trHeight w:val="562"/>
        </w:trPr>
        <w:tc>
          <w:tcPr>
            <w:tcW w:w="10682" w:type="dxa"/>
            <w:gridSpan w:val="2"/>
            <w:shd w:val="clear" w:color="auto" w:fill="FBD4B4" w:themeFill="accent6" w:themeFillTint="66"/>
            <w:vAlign w:val="center"/>
            <w:hideMark/>
          </w:tcPr>
          <w:p w14:paraId="0B398088" w14:textId="77777777" w:rsidR="007B3C66" w:rsidRPr="003F7852" w:rsidRDefault="007B3C66" w:rsidP="00430D9B">
            <w:pPr>
              <w:pStyle w:val="Heading1"/>
              <w:spacing w:before="0"/>
              <w:rPr>
                <w:rFonts w:ascii="Times New Roman" w:eastAsia="Times New Roman" w:hAnsi="Times New Roman" w:cs="Times New Roman"/>
                <w:noProof/>
                <w:color w:val="000000"/>
                <w:sz w:val="24"/>
                <w:szCs w:val="24"/>
                <w:lang w:val="sq-AL" w:eastAsia="sq-AL"/>
              </w:rPr>
            </w:pPr>
            <w:bookmarkStart w:id="17" w:name="_Toc69204590"/>
            <w:r w:rsidRPr="003F7852">
              <w:rPr>
                <w:rFonts w:ascii="Times New Roman" w:eastAsia="Times New Roman" w:hAnsi="Times New Roman" w:cs="Times New Roman"/>
                <w:b w:val="0"/>
                <w:bCs w:val="0"/>
                <w:noProof/>
                <w:color w:val="000000"/>
                <w:sz w:val="24"/>
                <w:szCs w:val="24"/>
                <w:lang w:val="sq-AL" w:eastAsia="sq-AL"/>
              </w:rPr>
              <w:t xml:space="preserve">17. </w:t>
            </w:r>
            <w:r w:rsidRPr="003F7852">
              <w:rPr>
                <w:rFonts w:ascii="Times New Roman" w:eastAsia="Times New Roman" w:hAnsi="Times New Roman" w:cs="Times New Roman"/>
                <w:noProof/>
                <w:color w:val="000000" w:themeColor="text1"/>
                <w:sz w:val="24"/>
                <w:szCs w:val="24"/>
                <w:lang w:val="sq-AL" w:eastAsia="sq-AL"/>
              </w:rPr>
              <w:t>Rishikimi i të dhënave</w:t>
            </w:r>
            <w:bookmarkEnd w:id="17"/>
            <w:r w:rsidRPr="003F7852">
              <w:rPr>
                <w:rFonts w:ascii="Times New Roman" w:eastAsia="Times New Roman" w:hAnsi="Times New Roman" w:cs="Times New Roman"/>
                <w:noProof/>
                <w:color w:val="000000"/>
                <w:sz w:val="24"/>
                <w:szCs w:val="24"/>
                <w:lang w:val="sq-AL" w:eastAsia="sq-AL"/>
              </w:rPr>
              <w:t> </w:t>
            </w:r>
          </w:p>
        </w:tc>
      </w:tr>
      <w:tr w:rsidR="00E43898" w:rsidRPr="003F7852" w14:paraId="52B813F5" w14:textId="77777777" w:rsidTr="00D5060F">
        <w:trPr>
          <w:trHeight w:val="3023"/>
        </w:trPr>
        <w:tc>
          <w:tcPr>
            <w:tcW w:w="2518" w:type="dxa"/>
            <w:shd w:val="clear" w:color="auto" w:fill="FFFFCC"/>
            <w:noWrap/>
            <w:vAlign w:val="center"/>
            <w:hideMark/>
          </w:tcPr>
          <w:p w14:paraId="262ECCFA"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17.1. Politika e rishikimit</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88"/>
              <w:gridCol w:w="6350"/>
            </w:tblGrid>
            <w:tr w:rsidR="000C6694" w:rsidRPr="003F7852" w14:paraId="0AF860A8" w14:textId="77777777" w:rsidTr="006E67C0">
              <w:tc>
                <w:tcPr>
                  <w:tcW w:w="1588" w:type="dxa"/>
                  <w:vAlign w:val="center"/>
                  <w:hideMark/>
                </w:tcPr>
                <w:p w14:paraId="6C7A6384" w14:textId="77777777" w:rsidR="000C6694" w:rsidRPr="003F7852" w:rsidRDefault="000C6694" w:rsidP="006E67C0">
                  <w:pPr>
                    <w:rPr>
                      <w:rFonts w:ascii="Times New Roman" w:hAnsi="Times New Roman" w:cs="Times New Roman"/>
                      <w:color w:val="000000"/>
                      <w:sz w:val="24"/>
                      <w:szCs w:val="24"/>
                      <w:lang w:val="sq-AL"/>
                    </w:rPr>
                  </w:pPr>
                  <w:r w:rsidRPr="003F7852">
                    <w:rPr>
                      <w:rFonts w:ascii="Times New Roman" w:hAnsi="Times New Roman" w:cs="Times New Roman"/>
                      <w:color w:val="000000"/>
                      <w:sz w:val="24"/>
                      <w:szCs w:val="24"/>
                      <w:lang w:val="sq-AL"/>
                    </w:rPr>
                    <w:t>17.1.1 Kapaciteti</w:t>
                  </w:r>
                </w:p>
              </w:tc>
              <w:tc>
                <w:tcPr>
                  <w:tcW w:w="6350" w:type="dxa"/>
                  <w:vAlign w:val="center"/>
                  <w:hideMark/>
                </w:tcPr>
                <w:p w14:paraId="2E48B0D8" w14:textId="77777777" w:rsidR="000C6694" w:rsidRPr="003F7852" w:rsidRDefault="000C6694" w:rsidP="003F7852">
                  <w:pPr>
                    <w:pStyle w:val="ListParagraph"/>
                    <w:ind w:left="360"/>
                    <w:jc w:val="both"/>
                    <w:rPr>
                      <w:color w:val="000000"/>
                      <w:lang w:val="sq-AL"/>
                    </w:rPr>
                  </w:pPr>
                  <w:r w:rsidRPr="003F7852">
                    <w:rPr>
                      <w:color w:val="000000"/>
                      <w:lang w:val="sq-AL"/>
                    </w:rPr>
                    <w:t>Politika e rishikimit bëhet në përputhje me politikën e përgjithshme të rishikimit dhe politikën e trajtimit të gabimeve të prezantuara nga INSTAT në lidhjet më poshtë:</w:t>
                  </w:r>
                </w:p>
                <w:p w14:paraId="35B52BE8" w14:textId="77777777" w:rsidR="000C6694" w:rsidRPr="003F7852" w:rsidRDefault="0093021A" w:rsidP="003F7852">
                  <w:pPr>
                    <w:pStyle w:val="ListParagraph"/>
                    <w:numPr>
                      <w:ilvl w:val="0"/>
                      <w:numId w:val="44"/>
                    </w:numPr>
                    <w:jc w:val="both"/>
                    <w:rPr>
                      <w:color w:val="000000"/>
                      <w:lang w:val="sq-AL"/>
                    </w:rPr>
                  </w:pPr>
                  <w:hyperlink r:id="rId26" w:history="1">
                    <w:r w:rsidR="000C6694" w:rsidRPr="003F7852">
                      <w:rPr>
                        <w:rStyle w:val="Hyperlink"/>
                        <w:lang w:val="sq-AL"/>
                      </w:rPr>
                      <w:t>Politika e Revizionimit Statistikor</w:t>
                    </w:r>
                  </w:hyperlink>
                </w:p>
                <w:p w14:paraId="02622A2B" w14:textId="77777777" w:rsidR="000C6694" w:rsidRPr="003F7852" w:rsidRDefault="0093021A" w:rsidP="003F7852">
                  <w:pPr>
                    <w:pStyle w:val="ListParagraph"/>
                    <w:numPr>
                      <w:ilvl w:val="0"/>
                      <w:numId w:val="44"/>
                    </w:numPr>
                    <w:jc w:val="both"/>
                    <w:rPr>
                      <w:noProof/>
                      <w:color w:val="000000"/>
                      <w:lang w:val="sq-AL" w:eastAsia="sq-AL"/>
                    </w:rPr>
                  </w:pPr>
                  <w:hyperlink r:id="rId27" w:history="1">
                    <w:r w:rsidR="000C6694" w:rsidRPr="003F7852">
                      <w:rPr>
                        <w:rStyle w:val="Hyperlink"/>
                        <w:lang w:val="sq-AL"/>
                      </w:rPr>
                      <w:t>Politika e trajtimit të gabimeve</w:t>
                    </w:r>
                  </w:hyperlink>
                </w:p>
              </w:tc>
            </w:tr>
            <w:tr w:rsidR="000C6694" w:rsidRPr="003F7852" w14:paraId="61FA597D" w14:textId="77777777" w:rsidTr="006E67C0">
              <w:tc>
                <w:tcPr>
                  <w:tcW w:w="1588" w:type="dxa"/>
                  <w:vAlign w:val="center"/>
                  <w:hideMark/>
                </w:tcPr>
                <w:p w14:paraId="75A0C6E0" w14:textId="77777777" w:rsidR="000C6694" w:rsidRPr="003F7852" w:rsidRDefault="000C6694" w:rsidP="006E67C0">
                  <w:pPr>
                    <w:rPr>
                      <w:rFonts w:ascii="Times New Roman" w:hAnsi="Times New Roman" w:cs="Times New Roman"/>
                      <w:color w:val="000000"/>
                      <w:sz w:val="24"/>
                      <w:szCs w:val="24"/>
                      <w:lang w:val="sq-AL"/>
                    </w:rPr>
                  </w:pPr>
                  <w:r w:rsidRPr="003F7852">
                    <w:rPr>
                      <w:rFonts w:ascii="Times New Roman" w:hAnsi="Times New Roman" w:cs="Times New Roman"/>
                      <w:color w:val="000000"/>
                      <w:sz w:val="24"/>
                      <w:szCs w:val="24"/>
                      <w:lang w:val="sq-AL"/>
                    </w:rPr>
                    <w:t>17.1.2 Shfrytëzimi </w:t>
                  </w:r>
                </w:p>
              </w:tc>
              <w:tc>
                <w:tcPr>
                  <w:tcW w:w="6350" w:type="dxa"/>
                  <w:vAlign w:val="center"/>
                  <w:hideMark/>
                </w:tcPr>
                <w:p w14:paraId="33FA78E7" w14:textId="77777777" w:rsidR="000C6694" w:rsidRPr="003F7852" w:rsidRDefault="000C6694" w:rsidP="003F7852">
                  <w:pPr>
                    <w:pStyle w:val="ListParagraph"/>
                    <w:ind w:left="360"/>
                    <w:jc w:val="both"/>
                    <w:rPr>
                      <w:color w:val="000000"/>
                      <w:lang w:val="sq-AL"/>
                    </w:rPr>
                  </w:pPr>
                  <w:r w:rsidRPr="003F7852">
                    <w:rPr>
                      <w:color w:val="000000"/>
                      <w:lang w:val="sq-AL"/>
                    </w:rPr>
                    <w:t>Politika e rishikimit bëhet në përputhje me politikën e përgjithshme të rishikimit dhe politikën e trajtimit të gabimeve të prezantuara nga INSTAT në lidhjet më poshtë:</w:t>
                  </w:r>
                </w:p>
                <w:p w14:paraId="2AFCF216" w14:textId="77777777" w:rsidR="000C6694" w:rsidRPr="003F7852" w:rsidRDefault="0093021A" w:rsidP="003F7852">
                  <w:pPr>
                    <w:pStyle w:val="ListParagraph"/>
                    <w:numPr>
                      <w:ilvl w:val="0"/>
                      <w:numId w:val="45"/>
                    </w:numPr>
                    <w:jc w:val="both"/>
                    <w:rPr>
                      <w:color w:val="000000"/>
                      <w:lang w:val="sq-AL"/>
                    </w:rPr>
                  </w:pPr>
                  <w:hyperlink r:id="rId28" w:history="1">
                    <w:r w:rsidR="000C6694" w:rsidRPr="003F7852">
                      <w:rPr>
                        <w:rStyle w:val="Hyperlink"/>
                        <w:lang w:val="sq-AL"/>
                      </w:rPr>
                      <w:t>Politika e Revizionimit Statistikor</w:t>
                    </w:r>
                  </w:hyperlink>
                </w:p>
                <w:p w14:paraId="44E00A5D" w14:textId="77777777" w:rsidR="000C6694" w:rsidRPr="003F7852" w:rsidRDefault="0093021A" w:rsidP="003F7852">
                  <w:pPr>
                    <w:pStyle w:val="ListParagraph"/>
                    <w:numPr>
                      <w:ilvl w:val="0"/>
                      <w:numId w:val="45"/>
                    </w:numPr>
                    <w:jc w:val="both"/>
                    <w:rPr>
                      <w:color w:val="000000"/>
                      <w:lang w:val="sq-AL"/>
                    </w:rPr>
                  </w:pPr>
                  <w:hyperlink r:id="rId29" w:history="1">
                    <w:r w:rsidR="000C6694" w:rsidRPr="003F7852">
                      <w:rPr>
                        <w:rStyle w:val="Hyperlink"/>
                        <w:lang w:val="sq-AL"/>
                      </w:rPr>
                      <w:t>Politika e trajtimit të gabimeve</w:t>
                    </w:r>
                  </w:hyperlink>
                </w:p>
              </w:tc>
            </w:tr>
          </w:tbl>
          <w:p w14:paraId="5C480A18" w14:textId="77777777" w:rsidR="00E43898" w:rsidRPr="003F7852" w:rsidRDefault="00E43898" w:rsidP="00153622">
            <w:pPr>
              <w:spacing w:before="240"/>
              <w:jc w:val="both"/>
              <w:rPr>
                <w:rFonts w:ascii="Times New Roman" w:eastAsia="Times New Roman" w:hAnsi="Times New Roman" w:cs="Times New Roman"/>
                <w:noProof/>
                <w:color w:val="000000"/>
                <w:sz w:val="24"/>
                <w:szCs w:val="24"/>
                <w:lang w:val="sq-AL" w:eastAsia="sq-AL"/>
              </w:rPr>
            </w:pPr>
          </w:p>
        </w:tc>
      </w:tr>
      <w:tr w:rsidR="00E43898" w:rsidRPr="003F7852" w14:paraId="5ED0A2DA" w14:textId="77777777" w:rsidTr="00D5060F">
        <w:trPr>
          <w:trHeight w:val="6029"/>
        </w:trPr>
        <w:tc>
          <w:tcPr>
            <w:tcW w:w="2518" w:type="dxa"/>
            <w:shd w:val="clear" w:color="auto" w:fill="FFFFCC"/>
            <w:noWrap/>
            <w:vAlign w:val="center"/>
            <w:hideMark/>
          </w:tcPr>
          <w:p w14:paraId="7AE284A7"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 xml:space="preserve">17.2. Praktika e rishikimit  </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88"/>
              <w:gridCol w:w="6350"/>
            </w:tblGrid>
            <w:tr w:rsidR="00B83FDC" w:rsidRPr="003F7852" w14:paraId="453EC55D" w14:textId="77777777" w:rsidTr="003F7852">
              <w:tc>
                <w:tcPr>
                  <w:tcW w:w="1000" w:type="pct"/>
                  <w:vAlign w:val="center"/>
                  <w:hideMark/>
                </w:tcPr>
                <w:p w14:paraId="5F07F506" w14:textId="77777777" w:rsidR="00B83FDC" w:rsidRPr="003F7852" w:rsidRDefault="00B83FDC" w:rsidP="003F7852">
                  <w:pPr>
                    <w:spacing w:line="276" w:lineRule="auto"/>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17.2.1 </w:t>
                  </w:r>
                  <w:r w:rsidRPr="003F7852">
                    <w:rPr>
                      <w:rFonts w:ascii="Times New Roman" w:hAnsi="Times New Roman" w:cs="Times New Roman"/>
                      <w:color w:val="000000"/>
                      <w:sz w:val="24"/>
                      <w:szCs w:val="24"/>
                      <w:lang w:val="sq-AL"/>
                    </w:rPr>
                    <w:t>Kapaciteti</w:t>
                  </w:r>
                </w:p>
              </w:tc>
              <w:tc>
                <w:tcPr>
                  <w:tcW w:w="4000" w:type="pct"/>
                  <w:vAlign w:val="center"/>
                  <w:hideMark/>
                </w:tcPr>
                <w:p w14:paraId="4F4FD8D8" w14:textId="77777777" w:rsidR="00B83FDC" w:rsidRPr="003F7852" w:rsidRDefault="00B83FDC" w:rsidP="003F7852">
                  <w:pPr>
                    <w:spacing w:before="30" w:after="30" w:line="276" w:lineRule="auto"/>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 xml:space="preserve">Pas datës së përfundimit së periudhës referuese, periudha referuese do të mbetet subjekt i rishikimeve dhe mund të rishikohet në rastin e sigurimit të informacionit më të përditësuar nga të anketuarit, si dhe nëse do të </w:t>
                  </w:r>
                  <w:r w:rsidR="003F7852" w:rsidRPr="003F7852">
                    <w:rPr>
                      <w:rFonts w:ascii="Times New Roman" w:eastAsia="Times New Roman" w:hAnsi="Times New Roman" w:cs="Times New Roman"/>
                      <w:color w:val="000000"/>
                      <w:sz w:val="24"/>
                      <w:szCs w:val="24"/>
                      <w:lang w:val="sq-AL"/>
                    </w:rPr>
                    <w:t>ketë</w:t>
                  </w:r>
                  <w:r w:rsidRPr="003F7852">
                    <w:rPr>
                      <w:rFonts w:ascii="Times New Roman" w:eastAsia="Times New Roman" w:hAnsi="Times New Roman" w:cs="Times New Roman"/>
                      <w:color w:val="000000"/>
                      <w:sz w:val="24"/>
                      <w:szCs w:val="24"/>
                      <w:lang w:val="sq-AL"/>
                    </w:rPr>
                    <w:t xml:space="preserve"> ndryshime të reja metodologjike. Rishikimi i tremujorit paraardhës është i mundur gjatë çdo tremujori dhe rregullimet mund të bëhen në fund të çdo viti për katër tremujorët. Do të konsiderohet si përfundimtar varianti i fundit në mënyrë që të shmanget thyerja e serive.</w:t>
                  </w:r>
                </w:p>
              </w:tc>
            </w:tr>
            <w:tr w:rsidR="003F7852" w:rsidRPr="003F7852" w14:paraId="4E056E1F" w14:textId="77777777" w:rsidTr="003F7852">
              <w:tc>
                <w:tcPr>
                  <w:tcW w:w="1000" w:type="pct"/>
                  <w:vAlign w:val="center"/>
                  <w:hideMark/>
                </w:tcPr>
                <w:p w14:paraId="14265409" w14:textId="77777777" w:rsidR="003F7852" w:rsidRPr="003F7852" w:rsidRDefault="003F7852" w:rsidP="003F7852">
                  <w:pPr>
                    <w:spacing w:line="276" w:lineRule="auto"/>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17.2.2 </w:t>
                  </w:r>
                  <w:r w:rsidRPr="003F7852">
                    <w:rPr>
                      <w:rFonts w:ascii="Times New Roman" w:hAnsi="Times New Roman" w:cs="Times New Roman"/>
                      <w:color w:val="000000"/>
                      <w:sz w:val="24"/>
                      <w:szCs w:val="24"/>
                      <w:lang w:val="sq-AL"/>
                    </w:rPr>
                    <w:t>Shfrytëzimi </w:t>
                  </w:r>
                </w:p>
              </w:tc>
              <w:tc>
                <w:tcPr>
                  <w:tcW w:w="4000" w:type="pct"/>
                  <w:vAlign w:val="center"/>
                  <w:hideMark/>
                </w:tcPr>
                <w:p w14:paraId="1D72892E" w14:textId="77777777" w:rsidR="003F7852" w:rsidRPr="003F7852" w:rsidRDefault="003F7852" w:rsidP="005217C1">
                  <w:pPr>
                    <w:spacing w:before="30" w:after="30" w:line="276" w:lineRule="auto"/>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Pas datës së përfundimit së periudhës referuese, periudha referuese do të mbetet subjekt i rishikimeve dhe mund të rishikohet në rastin e sigurimit të informacionit më të përditësuar nga të anketuarit, si dhe nëse do të ketë ndryshime të reja metodologjike. Rishikimi i tremujorit paraardhës është i mundur gjatë çdo tremujori dhe rregullimet mund të bëhen në fund të çdo viti për katër tremujorët. Do të konsiderohet si përfundimtar varianti i fundit në mënyrë që të shmanget thyerja e serive.</w:t>
                  </w:r>
                </w:p>
              </w:tc>
            </w:tr>
          </w:tbl>
          <w:p w14:paraId="415E6EE2" w14:textId="77777777" w:rsidR="00E43898" w:rsidRPr="003F7852" w:rsidRDefault="00E43898" w:rsidP="000C6694">
            <w:pPr>
              <w:spacing w:before="240"/>
              <w:jc w:val="both"/>
              <w:rPr>
                <w:rFonts w:ascii="Times New Roman" w:eastAsia="Times New Roman" w:hAnsi="Times New Roman" w:cs="Times New Roman"/>
                <w:noProof/>
                <w:color w:val="000000"/>
                <w:sz w:val="24"/>
                <w:szCs w:val="24"/>
                <w:lang w:val="sq-AL" w:eastAsia="sq-AL"/>
              </w:rPr>
            </w:pPr>
          </w:p>
        </w:tc>
      </w:tr>
      <w:tr w:rsidR="003A26F6" w:rsidRPr="003F7852" w14:paraId="1331D448" w14:textId="77777777" w:rsidTr="00C50933">
        <w:trPr>
          <w:trHeight w:val="567"/>
        </w:trPr>
        <w:tc>
          <w:tcPr>
            <w:tcW w:w="10682" w:type="dxa"/>
            <w:gridSpan w:val="2"/>
            <w:shd w:val="clear" w:color="auto" w:fill="FBD4B4" w:themeFill="accent6" w:themeFillTint="66"/>
            <w:vAlign w:val="center"/>
            <w:hideMark/>
          </w:tcPr>
          <w:p w14:paraId="05045B5E" w14:textId="77777777" w:rsidR="003A26F6" w:rsidRPr="003F7852" w:rsidRDefault="003A26F6" w:rsidP="00430D9B">
            <w:pPr>
              <w:pStyle w:val="Heading1"/>
              <w:spacing w:before="0"/>
              <w:rPr>
                <w:rFonts w:ascii="Times New Roman" w:eastAsia="Times New Roman" w:hAnsi="Times New Roman" w:cs="Times New Roman"/>
                <w:noProof/>
                <w:color w:val="000000"/>
                <w:sz w:val="24"/>
                <w:szCs w:val="24"/>
                <w:lang w:val="sq-AL" w:eastAsia="sq-AL"/>
              </w:rPr>
            </w:pPr>
            <w:bookmarkStart w:id="18" w:name="_Toc69204591"/>
            <w:r w:rsidRPr="003F7852">
              <w:rPr>
                <w:rFonts w:ascii="Times New Roman" w:eastAsia="Times New Roman" w:hAnsi="Times New Roman" w:cs="Times New Roman"/>
                <w:b w:val="0"/>
                <w:bCs w:val="0"/>
                <w:noProof/>
                <w:color w:val="000000"/>
                <w:sz w:val="24"/>
                <w:szCs w:val="24"/>
                <w:lang w:val="sq-AL" w:eastAsia="sq-AL"/>
              </w:rPr>
              <w:lastRenderedPageBreak/>
              <w:t xml:space="preserve">18. </w:t>
            </w:r>
            <w:r w:rsidRPr="003F7852">
              <w:rPr>
                <w:rFonts w:ascii="Times New Roman" w:eastAsia="Times New Roman" w:hAnsi="Times New Roman" w:cs="Times New Roman"/>
                <w:noProof/>
                <w:color w:val="000000" w:themeColor="text1"/>
                <w:sz w:val="24"/>
                <w:szCs w:val="24"/>
                <w:lang w:val="sq-AL" w:eastAsia="sq-AL"/>
              </w:rPr>
              <w:t>Përpunimi statistikor</w:t>
            </w:r>
            <w:bookmarkEnd w:id="18"/>
            <w:r w:rsidRPr="003F7852">
              <w:rPr>
                <w:rFonts w:ascii="Times New Roman" w:eastAsia="Times New Roman" w:hAnsi="Times New Roman" w:cs="Times New Roman"/>
                <w:noProof/>
                <w:color w:val="000000"/>
                <w:sz w:val="24"/>
                <w:szCs w:val="24"/>
                <w:lang w:val="sq-AL" w:eastAsia="sq-AL"/>
              </w:rPr>
              <w:t> </w:t>
            </w:r>
          </w:p>
        </w:tc>
      </w:tr>
      <w:tr w:rsidR="00E43898" w:rsidRPr="003F7852" w14:paraId="67039E85" w14:textId="77777777" w:rsidTr="00C50933">
        <w:trPr>
          <w:trHeight w:val="567"/>
        </w:trPr>
        <w:tc>
          <w:tcPr>
            <w:tcW w:w="2518" w:type="dxa"/>
            <w:shd w:val="clear" w:color="auto" w:fill="FFFFCC"/>
            <w:vAlign w:val="center"/>
            <w:hideMark/>
          </w:tcPr>
          <w:p w14:paraId="79A98B4B"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18.1. Burimi i të dhënave </w:t>
            </w:r>
          </w:p>
        </w:tc>
        <w:tc>
          <w:tcPr>
            <w:tcW w:w="8164" w:type="dxa"/>
            <w:shd w:val="clear" w:color="auto" w:fill="auto"/>
            <w:vAlign w:val="center"/>
          </w:tcPr>
          <w:p w14:paraId="7851C4D6" w14:textId="77777777" w:rsidR="003E07E9" w:rsidRPr="003F7852" w:rsidRDefault="003E07E9" w:rsidP="000C62D2">
            <w:pPr>
              <w:spacing w:after="30" w:line="240" w:lineRule="auto"/>
              <w:rPr>
                <w:rFonts w:ascii="Times New Roman" w:eastAsia="Times New Roman" w:hAnsi="Times New Roman" w:cs="Times New Roman"/>
                <w:b/>
                <w:bCs/>
                <w:color w:val="000000"/>
                <w:sz w:val="24"/>
                <w:szCs w:val="24"/>
                <w:lang w:val="sq-AL"/>
              </w:rPr>
            </w:pPr>
            <w:r w:rsidRPr="003F7852">
              <w:rPr>
                <w:rFonts w:ascii="Times New Roman" w:eastAsia="Times New Roman" w:hAnsi="Times New Roman" w:cs="Times New Roman"/>
                <w:b/>
                <w:bCs/>
                <w:color w:val="000000"/>
                <w:sz w:val="24"/>
                <w:szCs w:val="24"/>
                <w:lang w:val="sq-AL"/>
              </w:rPr>
              <w:t xml:space="preserve">18.1.1 </w:t>
            </w:r>
            <w:r w:rsidR="00AB790E" w:rsidRPr="003F7852">
              <w:rPr>
                <w:rFonts w:ascii="Times New Roman" w:eastAsia="Times New Roman" w:hAnsi="Times New Roman" w:cs="Times New Roman"/>
                <w:b/>
                <w:bCs/>
                <w:color w:val="000000"/>
                <w:sz w:val="24"/>
                <w:szCs w:val="24"/>
                <w:lang w:val="sq-AL"/>
              </w:rPr>
              <w:t>Burimi i të dhënave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93"/>
              <w:gridCol w:w="3145"/>
            </w:tblGrid>
            <w:tr w:rsidR="00AB790E" w:rsidRPr="003F7852" w14:paraId="21752265" w14:textId="77777777" w:rsidTr="003F7852">
              <w:trPr>
                <w:trHeight w:val="478"/>
              </w:trPr>
              <w:tc>
                <w:tcPr>
                  <w:tcW w:w="3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F94B09" w14:textId="77777777" w:rsidR="00AB790E" w:rsidRPr="003F7852" w:rsidRDefault="00AB790E" w:rsidP="003F7852">
                  <w:pPr>
                    <w:spacing w:line="276" w:lineRule="auto"/>
                    <w:jc w:val="both"/>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18.1.1.1 Burimi i të dhënave</w:t>
                  </w:r>
                </w:p>
              </w:tc>
              <w:tc>
                <w:tcPr>
                  <w:tcW w:w="19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C09DDE" w14:textId="77777777" w:rsidR="00AB790E" w:rsidRPr="003F7852" w:rsidRDefault="00AB790E" w:rsidP="003F7852">
                  <w:pPr>
                    <w:spacing w:line="276" w:lineRule="auto"/>
                    <w:jc w:val="both"/>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Anketa</w:t>
                  </w:r>
                </w:p>
              </w:tc>
            </w:tr>
            <w:tr w:rsidR="00AB790E" w:rsidRPr="003F7852" w14:paraId="0C125B42" w14:textId="77777777" w:rsidTr="003F7852">
              <w:tc>
                <w:tcPr>
                  <w:tcW w:w="3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B540E1" w14:textId="77777777" w:rsidR="00AB790E" w:rsidRPr="003F7852" w:rsidRDefault="00AB790E" w:rsidP="003F7852">
                  <w:pPr>
                    <w:spacing w:line="276" w:lineRule="auto"/>
                    <w:jc w:val="both"/>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18.1.1.2 Emri i anketës së mbledhjes së të dhënave në </w:t>
                  </w:r>
                  <w:r w:rsidR="004F5A78" w:rsidRPr="003F7852">
                    <w:rPr>
                      <w:rFonts w:ascii="&amp;quot" w:eastAsia="Times New Roman" w:hAnsi="&amp;quot" w:cs="Times New Roman"/>
                      <w:color w:val="000000"/>
                      <w:sz w:val="24"/>
                      <w:szCs w:val="24"/>
                      <w:lang w:val="sq-AL"/>
                    </w:rPr>
                    <w:t xml:space="preserve">gjuhën </w:t>
                  </w:r>
                  <w:r w:rsidR="004F5A78" w:rsidRPr="003F7852">
                    <w:rPr>
                      <w:rFonts w:ascii="&amp;quot" w:eastAsia="Times New Roman" w:hAnsi="&amp;quot" w:cs="Times New Roman"/>
                      <w:sz w:val="24"/>
                      <w:szCs w:val="24"/>
                      <w:lang w:val="sq-AL"/>
                    </w:rPr>
                    <w:t>shqipe</w:t>
                  </w:r>
                </w:p>
              </w:tc>
              <w:tc>
                <w:tcPr>
                  <w:tcW w:w="19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86B674" w14:textId="77777777" w:rsidR="00AB790E" w:rsidRPr="003F7852" w:rsidRDefault="00AB790E" w:rsidP="00F27867">
                  <w:pPr>
                    <w:spacing w:before="30" w:after="30" w:line="276" w:lineRule="auto"/>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Anketa e Strukturave Akomoduese</w:t>
                  </w:r>
                </w:p>
              </w:tc>
            </w:tr>
            <w:tr w:rsidR="00AB790E" w:rsidRPr="003F7852" w14:paraId="0EC768F4" w14:textId="77777777" w:rsidTr="003F7852">
              <w:tc>
                <w:tcPr>
                  <w:tcW w:w="3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3A1A8" w14:textId="77777777" w:rsidR="00AB790E" w:rsidRPr="003F7852" w:rsidRDefault="00AB790E" w:rsidP="003F7852">
                  <w:pPr>
                    <w:spacing w:line="276" w:lineRule="auto"/>
                    <w:jc w:val="both"/>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18.1.1.3 Emri i anketës së mbledhjes së të dhënave në gjuhën </w:t>
                  </w:r>
                  <w:r w:rsidR="004F5A78" w:rsidRPr="003F7852">
                    <w:rPr>
                      <w:rFonts w:ascii="&amp;quot" w:eastAsia="Times New Roman" w:hAnsi="&amp;quot" w:cs="Times New Roman"/>
                      <w:color w:val="000000"/>
                      <w:sz w:val="24"/>
                      <w:szCs w:val="24"/>
                      <w:lang w:val="sq-AL"/>
                    </w:rPr>
                    <w:t>a</w:t>
                  </w:r>
                  <w:r w:rsidRPr="003F7852">
                    <w:rPr>
                      <w:rFonts w:ascii="&amp;quot" w:eastAsia="Times New Roman" w:hAnsi="&amp;quot" w:cs="Times New Roman"/>
                      <w:color w:val="000000"/>
                      <w:sz w:val="24"/>
                      <w:szCs w:val="24"/>
                      <w:lang w:val="sq-AL"/>
                    </w:rPr>
                    <w:t>ngleze</w:t>
                  </w:r>
                </w:p>
              </w:tc>
              <w:tc>
                <w:tcPr>
                  <w:tcW w:w="19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9D8A17" w14:textId="77777777" w:rsidR="00AB790E" w:rsidRPr="003F7852" w:rsidRDefault="00AB790E" w:rsidP="003F7852">
                  <w:pPr>
                    <w:spacing w:before="30" w:after="30" w:line="276" w:lineRule="auto"/>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Accommodation Establishments Survey</w:t>
                  </w:r>
                </w:p>
              </w:tc>
            </w:tr>
            <w:tr w:rsidR="00AB790E" w:rsidRPr="003F7852" w14:paraId="32818462" w14:textId="77777777" w:rsidTr="003F7852">
              <w:tc>
                <w:tcPr>
                  <w:tcW w:w="3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120EE4" w14:textId="77777777" w:rsidR="00AB790E" w:rsidRPr="003F7852" w:rsidRDefault="00AB790E" w:rsidP="003F7852">
                  <w:pPr>
                    <w:spacing w:line="276" w:lineRule="auto"/>
                    <w:jc w:val="both"/>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18.1.1.4 Komente shtesë, nëse ka ndonjë (p.sh. ndryshimet për klasën NACE, përdorimi i teknikave të vlerësimit statistikor)</w:t>
                  </w:r>
                </w:p>
              </w:tc>
              <w:tc>
                <w:tcPr>
                  <w:tcW w:w="19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D207C9" w14:textId="77777777" w:rsidR="00AB790E" w:rsidRPr="003F7852" w:rsidRDefault="00AB790E" w:rsidP="003F7852">
                  <w:pPr>
                    <w:spacing w:line="276" w:lineRule="auto"/>
                    <w:jc w:val="both"/>
                    <w:rPr>
                      <w:lang w:val="sq-AL"/>
                    </w:rPr>
                  </w:pPr>
                </w:p>
              </w:tc>
            </w:tr>
          </w:tbl>
          <w:p w14:paraId="2DC07FB1" w14:textId="77777777" w:rsidR="00AB790E" w:rsidRPr="003F7852" w:rsidRDefault="00AB790E" w:rsidP="00D5060F">
            <w:pPr>
              <w:spacing w:before="240" w:after="30" w:line="240" w:lineRule="auto"/>
              <w:rPr>
                <w:rFonts w:ascii="Times New Roman" w:eastAsia="Times New Roman" w:hAnsi="Times New Roman" w:cs="Times New Roman"/>
                <w:b/>
                <w:bCs/>
                <w:color w:val="000000"/>
                <w:sz w:val="24"/>
                <w:szCs w:val="24"/>
                <w:lang w:val="sq-AL"/>
              </w:rPr>
            </w:pPr>
            <w:r w:rsidRPr="003F7852">
              <w:rPr>
                <w:rFonts w:ascii="Times New Roman" w:eastAsia="Times New Roman" w:hAnsi="Times New Roman" w:cs="Times New Roman"/>
                <w:b/>
                <w:bCs/>
                <w:color w:val="000000"/>
                <w:sz w:val="24"/>
                <w:szCs w:val="24"/>
                <w:lang w:val="sq-AL"/>
              </w:rPr>
              <w:t>18.1.2 Popullata e synuar</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8"/>
              <w:gridCol w:w="4250"/>
            </w:tblGrid>
            <w:tr w:rsidR="00AB790E" w:rsidRPr="003F7852" w14:paraId="1722E052" w14:textId="77777777" w:rsidTr="00AB790E">
              <w:trPr>
                <w:trHeight w:val="397"/>
              </w:trPr>
              <w:tc>
                <w:tcPr>
                  <w:tcW w:w="95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EF65D8" w14:textId="77777777" w:rsidR="00AB790E" w:rsidRPr="003F7852" w:rsidRDefault="00AB790E" w:rsidP="0097344E">
                  <w:pPr>
                    <w:rPr>
                      <w:rFonts w:ascii="Times New Roman" w:eastAsia="Times New Roman" w:hAnsi="Times New Roman" w:cs="Times New Roman"/>
                      <w:sz w:val="24"/>
                      <w:szCs w:val="24"/>
                      <w:lang w:val="sq-AL"/>
                    </w:rPr>
                  </w:pPr>
                  <w:r w:rsidRPr="003F7852">
                    <w:rPr>
                      <w:rFonts w:ascii="&amp;quot" w:eastAsia="Times New Roman" w:hAnsi="&amp;quot" w:cs="Times New Roman"/>
                      <w:b/>
                      <w:bCs/>
                      <w:sz w:val="24"/>
                      <w:szCs w:val="24"/>
                      <w:lang w:val="sq-AL"/>
                    </w:rPr>
                    <w:t>18.1.2.1 </w:t>
                  </w:r>
                  <w:r w:rsidR="0097344E" w:rsidRPr="003F7852">
                    <w:rPr>
                      <w:rFonts w:ascii="&amp;quot" w:eastAsia="Times New Roman" w:hAnsi="&amp;quot" w:cs="Times New Roman"/>
                      <w:b/>
                      <w:bCs/>
                      <w:sz w:val="24"/>
                      <w:szCs w:val="24"/>
                      <w:lang w:val="sq-AL"/>
                    </w:rPr>
                    <w:t xml:space="preserve">Korniza </w:t>
                  </w:r>
                  <w:r w:rsidR="0097344E" w:rsidRPr="003F7852">
                    <w:rPr>
                      <w:rFonts w:ascii="Times New Roman" w:eastAsia="Times New Roman" w:hAnsi="Times New Roman" w:cs="Times New Roman"/>
                      <w:b/>
                      <w:bCs/>
                      <w:color w:val="000000"/>
                      <w:sz w:val="24"/>
                      <w:szCs w:val="24"/>
                      <w:lang w:val="sq-AL"/>
                    </w:rPr>
                    <w:t>e p</w:t>
                  </w:r>
                  <w:r w:rsidRPr="003F7852">
                    <w:rPr>
                      <w:rFonts w:ascii="Times New Roman" w:eastAsia="Times New Roman" w:hAnsi="Times New Roman" w:cs="Times New Roman"/>
                      <w:b/>
                      <w:bCs/>
                      <w:color w:val="000000"/>
                      <w:sz w:val="24"/>
                      <w:szCs w:val="24"/>
                      <w:lang w:val="sq-AL"/>
                    </w:rPr>
                    <w:t>opullat</w:t>
                  </w:r>
                  <w:r w:rsidR="0097344E" w:rsidRPr="003F7852">
                    <w:rPr>
                      <w:rFonts w:ascii="Times New Roman" w:eastAsia="Times New Roman" w:hAnsi="Times New Roman" w:cs="Times New Roman"/>
                      <w:b/>
                      <w:bCs/>
                      <w:color w:val="000000"/>
                      <w:sz w:val="24"/>
                      <w:szCs w:val="24"/>
                      <w:lang w:val="sq-AL"/>
                    </w:rPr>
                    <w:t>ës</w:t>
                  </w:r>
                  <w:r w:rsidRPr="003F7852">
                    <w:rPr>
                      <w:rFonts w:ascii="Times New Roman" w:eastAsia="Times New Roman" w:hAnsi="Times New Roman" w:cs="Times New Roman"/>
                      <w:b/>
                      <w:bCs/>
                      <w:color w:val="000000"/>
                      <w:sz w:val="24"/>
                      <w:szCs w:val="24"/>
                      <w:lang w:val="sq-AL"/>
                    </w:rPr>
                    <w:t xml:space="preserve"> </w:t>
                  </w:r>
                  <w:r w:rsidR="0097344E" w:rsidRPr="003F7852">
                    <w:rPr>
                      <w:rFonts w:ascii="Times New Roman" w:eastAsia="Times New Roman" w:hAnsi="Times New Roman" w:cs="Times New Roman"/>
                      <w:b/>
                      <w:bCs/>
                      <w:color w:val="000000"/>
                      <w:sz w:val="24"/>
                      <w:szCs w:val="24"/>
                      <w:lang w:val="sq-AL"/>
                    </w:rPr>
                    <w:t xml:space="preserve">së </w:t>
                  </w:r>
                  <w:r w:rsidRPr="003F7852">
                    <w:rPr>
                      <w:rFonts w:ascii="Times New Roman" w:eastAsia="Times New Roman" w:hAnsi="Times New Roman" w:cs="Times New Roman"/>
                      <w:b/>
                      <w:bCs/>
                      <w:color w:val="000000"/>
                      <w:sz w:val="24"/>
                      <w:szCs w:val="24"/>
                      <w:lang w:val="sq-AL"/>
                    </w:rPr>
                    <w:t>synuar</w:t>
                  </w:r>
                </w:p>
              </w:tc>
            </w:tr>
            <w:tr w:rsidR="00AB790E" w:rsidRPr="003F7852" w14:paraId="0478E9D1"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045CE4" w14:textId="77777777" w:rsidR="00AB790E" w:rsidRPr="003F7852" w:rsidRDefault="00AB790E" w:rsidP="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18.1.2.1.1 Kapaciteti</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6C6C06" w14:textId="3AEC3735" w:rsidR="00AB790E" w:rsidRPr="003F7852" w:rsidRDefault="00AB790E" w:rsidP="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Regjistri Statistikor i Ndërmarrjeve</w:t>
                  </w:r>
                  <w:r w:rsidR="00C50933">
                    <w:rPr>
                      <w:rFonts w:ascii="&amp;quot" w:eastAsia="Times New Roman" w:hAnsi="&amp;quot" w:cs="Times New Roman"/>
                      <w:sz w:val="24"/>
                      <w:szCs w:val="24"/>
                      <w:lang w:val="sq-AL"/>
                    </w:rPr>
                    <w:t xml:space="preserve"> </w:t>
                  </w:r>
                  <w:r w:rsidR="00C50933">
                    <w:rPr>
                      <w:rFonts w:ascii="&amp;quot" w:eastAsia="Times New Roman" w:hAnsi="&amp;quot" w:cs="Times New Roman"/>
                      <w:sz w:val="24"/>
                      <w:szCs w:val="24"/>
                    </w:rPr>
                    <w:t>(T-2)</w:t>
                  </w:r>
                </w:p>
              </w:tc>
            </w:tr>
            <w:tr w:rsidR="00AB790E" w:rsidRPr="003F7852" w14:paraId="441CEE6D"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AE9CEA" w14:textId="77777777" w:rsidR="00AB790E" w:rsidRPr="003F7852" w:rsidRDefault="00AB790E" w:rsidP="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18.1.2.1.2 Shfrytëzimi </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C69A5F" w14:textId="37E6A2FF"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Regjistri Statistikor i Ndërmarrjeve</w:t>
                  </w:r>
                  <w:r w:rsidR="00C50933">
                    <w:rPr>
                      <w:rFonts w:ascii="&amp;quot" w:eastAsia="Times New Roman" w:hAnsi="&amp;quot" w:cs="Times New Roman"/>
                      <w:sz w:val="24"/>
                      <w:szCs w:val="24"/>
                      <w:lang w:val="sq-AL"/>
                    </w:rPr>
                    <w:t xml:space="preserve"> </w:t>
                  </w:r>
                  <w:r w:rsidR="00C50933">
                    <w:rPr>
                      <w:rFonts w:ascii="&amp;quot" w:eastAsia="Times New Roman" w:hAnsi="&amp;quot" w:cs="Times New Roman"/>
                      <w:sz w:val="24"/>
                      <w:szCs w:val="24"/>
                    </w:rPr>
                    <w:t>(T-2)</w:t>
                  </w:r>
                </w:p>
              </w:tc>
            </w:tr>
            <w:tr w:rsidR="00AB790E" w:rsidRPr="003F7852" w14:paraId="31C56F5F" w14:textId="77777777" w:rsidTr="00AB790E">
              <w:trPr>
                <w:trHeight w:val="397"/>
              </w:trPr>
              <w:tc>
                <w:tcPr>
                  <w:tcW w:w="95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F3A31E" w14:textId="77777777" w:rsidR="00AB790E" w:rsidRPr="003F7852" w:rsidRDefault="00AB790E" w:rsidP="0097344E">
                  <w:pPr>
                    <w:rPr>
                      <w:rFonts w:ascii="Times New Roman" w:eastAsia="Times New Roman" w:hAnsi="Times New Roman" w:cs="Times New Roman"/>
                      <w:sz w:val="24"/>
                      <w:szCs w:val="24"/>
                      <w:lang w:val="sq-AL"/>
                    </w:rPr>
                  </w:pPr>
                  <w:r w:rsidRPr="003F7852">
                    <w:rPr>
                      <w:rFonts w:ascii="&amp;quot" w:eastAsia="Times New Roman" w:hAnsi="&amp;quot" w:cs="Times New Roman"/>
                      <w:b/>
                      <w:bCs/>
                      <w:sz w:val="24"/>
                      <w:szCs w:val="24"/>
                      <w:lang w:val="sq-AL"/>
                    </w:rPr>
                    <w:t xml:space="preserve">18.1.2.2 </w:t>
                  </w:r>
                  <w:r w:rsidR="0097344E" w:rsidRPr="003F7852">
                    <w:rPr>
                      <w:rFonts w:ascii="&amp;quot" w:eastAsia="Times New Roman" w:hAnsi="&amp;quot" w:cs="Times New Roman"/>
                      <w:b/>
                      <w:bCs/>
                      <w:sz w:val="24"/>
                      <w:szCs w:val="24"/>
                      <w:lang w:val="sq-AL"/>
                    </w:rPr>
                    <w:t>Përditësimi</w:t>
                  </w:r>
                  <w:r w:rsidRPr="003F7852">
                    <w:rPr>
                      <w:rFonts w:ascii="&amp;quot" w:eastAsia="Times New Roman" w:hAnsi="&amp;quot" w:cs="Times New Roman"/>
                      <w:b/>
                      <w:sz w:val="24"/>
                      <w:szCs w:val="24"/>
                      <w:lang w:val="sq-AL"/>
                    </w:rPr>
                    <w:t> </w:t>
                  </w:r>
                  <w:r w:rsidR="0097344E" w:rsidRPr="003F7852">
                    <w:rPr>
                      <w:rFonts w:ascii="&amp;quot" w:eastAsia="Times New Roman" w:hAnsi="&amp;quot" w:cs="Times New Roman"/>
                      <w:b/>
                      <w:sz w:val="24"/>
                      <w:szCs w:val="24"/>
                      <w:lang w:val="sq-AL"/>
                    </w:rPr>
                    <w:t xml:space="preserve">i kornizës së </w:t>
                  </w:r>
                  <w:r w:rsidR="0097344E" w:rsidRPr="003F7852">
                    <w:rPr>
                      <w:rFonts w:ascii="Times New Roman" w:eastAsia="Times New Roman" w:hAnsi="Times New Roman" w:cs="Times New Roman"/>
                      <w:b/>
                      <w:bCs/>
                      <w:color w:val="000000"/>
                      <w:sz w:val="24"/>
                      <w:szCs w:val="24"/>
                      <w:lang w:val="sq-AL"/>
                    </w:rPr>
                    <w:t>popullatës së synuar</w:t>
                  </w:r>
                </w:p>
              </w:tc>
            </w:tr>
            <w:tr w:rsidR="00AB790E" w:rsidRPr="003F7852" w14:paraId="6B545AC5"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4E4F33"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18.1.2.2.1 Kapaciteti</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414081"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Mu</w:t>
                  </w:r>
                  <w:r w:rsidR="0097344E" w:rsidRPr="003F7852">
                    <w:rPr>
                      <w:rFonts w:ascii="&amp;quot" w:eastAsia="Times New Roman" w:hAnsi="&amp;quot" w:cs="Times New Roman"/>
                      <w:sz w:val="24"/>
                      <w:szCs w:val="24"/>
                      <w:lang w:val="sq-AL"/>
                    </w:rPr>
                    <w:t>jor</w:t>
                  </w:r>
                </w:p>
              </w:tc>
            </w:tr>
            <w:tr w:rsidR="00AB790E" w:rsidRPr="003F7852" w14:paraId="2660AF2F"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2B2377"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18.1.2.2.2 Shfrytëzimi </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FC5548" w14:textId="77777777" w:rsidR="00AB790E" w:rsidRPr="003F7852" w:rsidRDefault="0097344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Mujor</w:t>
                  </w:r>
                </w:p>
              </w:tc>
            </w:tr>
            <w:tr w:rsidR="00AB790E" w:rsidRPr="003F7852" w14:paraId="73EEDC45" w14:textId="77777777" w:rsidTr="00AB790E">
              <w:trPr>
                <w:trHeight w:val="397"/>
              </w:trPr>
              <w:tc>
                <w:tcPr>
                  <w:tcW w:w="9576" w:type="dxa"/>
                  <w:gridSpan w:val="2"/>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vAlign w:val="center"/>
                  <w:hideMark/>
                </w:tcPr>
                <w:p w14:paraId="662D53A5"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b/>
                      <w:bCs/>
                      <w:sz w:val="24"/>
                      <w:szCs w:val="24"/>
                      <w:lang w:val="sq-AL"/>
                    </w:rPr>
                    <w:t xml:space="preserve">18.1.2.3 </w:t>
                  </w:r>
                  <w:r w:rsidR="0097344E" w:rsidRPr="003F7852">
                    <w:rPr>
                      <w:rFonts w:ascii="&amp;quot" w:eastAsia="Times New Roman" w:hAnsi="&amp;quot" w:cs="Times New Roman"/>
                      <w:b/>
                      <w:bCs/>
                      <w:sz w:val="24"/>
                      <w:szCs w:val="24"/>
                      <w:lang w:val="sq-AL"/>
                    </w:rPr>
                    <w:t>Komente të tjera ose shtesë</w:t>
                  </w:r>
                </w:p>
              </w:tc>
            </w:tr>
            <w:tr w:rsidR="00AB790E" w:rsidRPr="003F7852" w14:paraId="6C55C11B" w14:textId="77777777" w:rsidTr="00AB790E">
              <w:trPr>
                <w:trHeight w:val="397"/>
              </w:trPr>
              <w:tc>
                <w:tcPr>
                  <w:tcW w:w="9576" w:type="dxa"/>
                  <w:gridSpan w:val="2"/>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854285" w14:textId="77777777" w:rsidR="00AB790E" w:rsidRPr="003F7852" w:rsidRDefault="00AB790E" w:rsidP="00F27867">
                  <w:pPr>
                    <w:rPr>
                      <w:rFonts w:ascii="Times New Roman" w:eastAsia="Times New Roman" w:hAnsi="Times New Roman" w:cs="Times New Roman"/>
                      <w:sz w:val="24"/>
                      <w:szCs w:val="24"/>
                      <w:lang w:val="sq-AL"/>
                    </w:rPr>
                  </w:pPr>
                  <w:r w:rsidRPr="003F7852">
                    <w:rPr>
                      <w:rFonts w:ascii="&amp;quot" w:eastAsia="Times New Roman" w:hAnsi="&amp;quot" w:cs="Times New Roman"/>
                      <w:b/>
                      <w:bCs/>
                      <w:sz w:val="24"/>
                      <w:szCs w:val="24"/>
                      <w:lang w:val="sq-AL"/>
                    </w:rPr>
                    <w:t xml:space="preserve">18.1.2.4 </w:t>
                  </w:r>
                  <w:r w:rsidR="00F27867">
                    <w:rPr>
                      <w:rFonts w:ascii="&amp;quot" w:eastAsia="Times New Roman" w:hAnsi="&amp;quot" w:cs="Times New Roman"/>
                      <w:b/>
                      <w:bCs/>
                      <w:sz w:val="24"/>
                      <w:szCs w:val="24"/>
                      <w:lang w:val="sq-AL"/>
                    </w:rPr>
                    <w:t xml:space="preserve">Gabimet në mbulim të </w:t>
                  </w:r>
                  <w:r w:rsidR="0097344E" w:rsidRPr="003F7852">
                    <w:rPr>
                      <w:rFonts w:ascii="&amp;quot" w:eastAsia="Times New Roman" w:hAnsi="&amp;quot" w:cs="Times New Roman"/>
                      <w:b/>
                      <w:sz w:val="24"/>
                      <w:szCs w:val="24"/>
                      <w:lang w:val="sq-AL"/>
                    </w:rPr>
                    <w:t xml:space="preserve">kornizës së </w:t>
                  </w:r>
                  <w:r w:rsidR="0097344E" w:rsidRPr="003F7852">
                    <w:rPr>
                      <w:rFonts w:ascii="Times New Roman" w:eastAsia="Times New Roman" w:hAnsi="Times New Roman" w:cs="Times New Roman"/>
                      <w:b/>
                      <w:bCs/>
                      <w:color w:val="000000"/>
                      <w:sz w:val="24"/>
                      <w:szCs w:val="24"/>
                      <w:lang w:val="sq-AL"/>
                    </w:rPr>
                    <w:t>popullatës së synuar</w:t>
                  </w:r>
                </w:p>
              </w:tc>
            </w:tr>
            <w:tr w:rsidR="00AB790E" w:rsidRPr="003F7852" w14:paraId="2C54E38B"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DE0C04"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18.1.2.4.1 Kapaciteti</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7FBBCF" w14:textId="77777777" w:rsidR="00AB790E" w:rsidRPr="003F7852" w:rsidRDefault="0097344E">
                  <w:pPr>
                    <w:spacing w:before="30" w:after="30"/>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Nuk aplikohet</w:t>
                  </w:r>
                </w:p>
              </w:tc>
            </w:tr>
            <w:tr w:rsidR="00AB790E" w:rsidRPr="003F7852" w14:paraId="7198FBFD" w14:textId="77777777" w:rsidTr="00AB790E">
              <w:trPr>
                <w:trHeight w:val="397"/>
              </w:trPr>
              <w:tc>
                <w:tcPr>
                  <w:tcW w:w="23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AA2230" w14:textId="77777777" w:rsidR="00AB790E" w:rsidRPr="003F7852" w:rsidRDefault="00AB790E">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18.1.2.4.2 Shfrytëzimi </w:t>
                  </w:r>
                </w:p>
              </w:tc>
              <w:tc>
                <w:tcPr>
                  <w:tcW w:w="2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EE6B58" w14:textId="77777777" w:rsidR="00AB790E" w:rsidRPr="003F7852" w:rsidRDefault="0097344E">
                  <w:pPr>
                    <w:spacing w:before="30" w:after="30"/>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Nuk aplikohet</w:t>
                  </w:r>
                </w:p>
              </w:tc>
            </w:tr>
          </w:tbl>
          <w:p w14:paraId="1507FDC4" w14:textId="77777777" w:rsidR="00AB790E" w:rsidRPr="003F7852" w:rsidRDefault="0097344E" w:rsidP="00D5060F">
            <w:pPr>
              <w:spacing w:before="240" w:after="30" w:line="240" w:lineRule="auto"/>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b/>
                <w:bCs/>
                <w:color w:val="000000"/>
                <w:sz w:val="24"/>
                <w:szCs w:val="24"/>
                <w:lang w:val="sq-AL"/>
              </w:rPr>
              <w:t xml:space="preserve">18.1.3 </w:t>
            </w:r>
            <w:r w:rsidRPr="003F7852">
              <w:rPr>
                <w:rFonts w:ascii="Times New Roman" w:eastAsia="Times New Roman" w:hAnsi="Times New Roman" w:cs="Times New Roman"/>
                <w:b/>
                <w:color w:val="000000"/>
                <w:sz w:val="24"/>
                <w:szCs w:val="24"/>
                <w:lang w:val="sq-AL"/>
              </w:rPr>
              <w:t>Dizenjimi i kampionit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938"/>
            </w:tblGrid>
            <w:tr w:rsidR="0097344E" w:rsidRPr="003F7852" w14:paraId="4A99DB16" w14:textId="77777777" w:rsidTr="0097344E">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F0E8F" w14:textId="77777777" w:rsidR="00E84009" w:rsidRPr="003F7852" w:rsidRDefault="00E84009" w:rsidP="003F7852">
                  <w:pPr>
                    <w:spacing w:before="30" w:after="30"/>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Census për ndërmarrjet me 10 ose më shumë të punësuar;</w:t>
                  </w:r>
                </w:p>
                <w:p w14:paraId="66FE734A" w14:textId="77777777" w:rsidR="0097344E" w:rsidRPr="003F7852" w:rsidRDefault="00E84009" w:rsidP="00863C61">
                  <w:pPr>
                    <w:spacing w:before="30" w:after="30"/>
                    <w:jc w:val="both"/>
                    <w:rPr>
                      <w:rFonts w:ascii="Times New Roman" w:eastAsia="Times New Roman" w:hAnsi="Times New Roman" w:cs="Times New Roman"/>
                      <w:sz w:val="24"/>
                      <w:szCs w:val="24"/>
                      <w:lang w:val="sq-AL"/>
                    </w:rPr>
                  </w:pPr>
                  <w:r w:rsidRPr="003F7852">
                    <w:rPr>
                      <w:rFonts w:ascii="Times New Roman" w:eastAsia="Times New Roman" w:hAnsi="Times New Roman" w:cs="Times New Roman"/>
                      <w:sz w:val="24"/>
                      <w:szCs w:val="24"/>
                      <w:lang w:val="sq-AL"/>
                    </w:rPr>
                    <w:t>Për ndërmarrjet e vogla, merret një kampion, duke përdorur shtre</w:t>
                  </w:r>
                  <w:r w:rsidR="00863C61">
                    <w:rPr>
                      <w:rFonts w:ascii="Times New Roman" w:eastAsia="Times New Roman" w:hAnsi="Times New Roman" w:cs="Times New Roman"/>
                      <w:sz w:val="24"/>
                      <w:szCs w:val="24"/>
                      <w:lang w:val="sq-AL"/>
                    </w:rPr>
                    <w:t>sëz</w:t>
                  </w:r>
                  <w:r w:rsidRPr="003F7852">
                    <w:rPr>
                      <w:rFonts w:ascii="Times New Roman" w:eastAsia="Times New Roman" w:hAnsi="Times New Roman" w:cs="Times New Roman"/>
                      <w:sz w:val="24"/>
                      <w:szCs w:val="24"/>
                      <w:lang w:val="sq-AL"/>
                    </w:rPr>
                    <w:t>imin sipas madhësisë së ndërmarrjes dhe NVE.</w:t>
                  </w:r>
                </w:p>
              </w:tc>
            </w:tr>
          </w:tbl>
          <w:p w14:paraId="0B76C8D7" w14:textId="77777777" w:rsidR="00AB790E" w:rsidRPr="003F7852" w:rsidRDefault="00E84009" w:rsidP="009F7026">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b/>
                <w:bCs/>
                <w:color w:val="000000"/>
                <w:sz w:val="24"/>
                <w:szCs w:val="24"/>
                <w:lang w:val="sq-AL"/>
              </w:rPr>
              <w:t xml:space="preserve">18.1.4 Komente të tjera ose shtesë mbi burimin e të dhënave, kornizën e populates së synuar ose </w:t>
            </w:r>
            <w:r w:rsidRPr="003F7852">
              <w:rPr>
                <w:rFonts w:ascii="Times New Roman" w:eastAsia="Times New Roman" w:hAnsi="Times New Roman" w:cs="Times New Roman"/>
                <w:b/>
                <w:color w:val="000000"/>
                <w:sz w:val="24"/>
                <w:szCs w:val="24"/>
                <w:lang w:val="sq-AL"/>
              </w:rPr>
              <w:t>dizenjimin e kampionit</w:t>
            </w:r>
            <w:r w:rsidRPr="003F7852">
              <w:rPr>
                <w:rFonts w:ascii="Times New Roman" w:eastAsia="Times New Roman" w:hAnsi="Times New Roman" w:cs="Times New Roman"/>
                <w:bCs/>
                <w:color w:val="000000"/>
                <w:sz w:val="24"/>
                <w:szCs w:val="24"/>
                <w:lang w:val="sq-AL"/>
              </w:rPr>
              <w:t xml:space="preserve"> (p.sh. ndryshimet për klasën NACE)</w:t>
            </w:r>
            <w:r w:rsidR="009F7026" w:rsidRPr="003F7852">
              <w:rPr>
                <w:rFonts w:ascii="Times New Roman" w:eastAsia="Times New Roman" w:hAnsi="Times New Roman" w:cs="Times New Roman"/>
                <w:bCs/>
                <w:color w:val="000000"/>
                <w:sz w:val="24"/>
                <w:szCs w:val="24"/>
                <w:lang w:val="sq-AL"/>
              </w:rPr>
              <w:t>.</w:t>
            </w:r>
          </w:p>
        </w:tc>
      </w:tr>
      <w:tr w:rsidR="00B15F7B" w:rsidRPr="003F7852" w14:paraId="25E0431E" w14:textId="77777777" w:rsidTr="00C50933">
        <w:trPr>
          <w:trHeight w:val="567"/>
        </w:trPr>
        <w:tc>
          <w:tcPr>
            <w:tcW w:w="2518" w:type="dxa"/>
            <w:shd w:val="clear" w:color="auto" w:fill="FFFFCC"/>
            <w:vAlign w:val="center"/>
            <w:hideMark/>
          </w:tcPr>
          <w:p w14:paraId="10E539EC" w14:textId="77777777" w:rsidR="00011189" w:rsidRPr="003F7852" w:rsidRDefault="00011189"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18.2. Shpeshtësia e grumbullimit të të dhënave</w:t>
            </w:r>
          </w:p>
        </w:tc>
        <w:tc>
          <w:tcPr>
            <w:tcW w:w="8164" w:type="dxa"/>
            <w:shd w:val="clear" w:color="auto" w:fill="auto"/>
            <w:noWrap/>
            <w:vAlign w:val="center"/>
            <w:hideMark/>
          </w:tcPr>
          <w:p w14:paraId="44EBD1E6" w14:textId="77777777" w:rsidR="00011189" w:rsidRPr="003F7852" w:rsidRDefault="009F7026" w:rsidP="009F7026">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janë përpiluar në bazë vjetore (por grumbullohen përmes vro</w:t>
            </w:r>
            <w:r w:rsidR="00F27867">
              <w:rPr>
                <w:rFonts w:ascii="Times New Roman" w:eastAsia="Times New Roman" w:hAnsi="Times New Roman" w:cs="Times New Roman"/>
                <w:noProof/>
                <w:color w:val="000000"/>
                <w:sz w:val="24"/>
                <w:szCs w:val="24"/>
                <w:lang w:val="sq-AL" w:eastAsia="sq-AL"/>
              </w:rPr>
              <w:t>j</w:t>
            </w:r>
            <w:r w:rsidRPr="003F7852">
              <w:rPr>
                <w:rFonts w:ascii="Times New Roman" w:eastAsia="Times New Roman" w:hAnsi="Times New Roman" w:cs="Times New Roman"/>
                <w:noProof/>
                <w:color w:val="000000"/>
                <w:sz w:val="24"/>
                <w:szCs w:val="24"/>
                <w:lang w:val="sq-AL" w:eastAsia="sq-AL"/>
              </w:rPr>
              <w:t>timeve mujore).</w:t>
            </w:r>
          </w:p>
        </w:tc>
      </w:tr>
      <w:tr w:rsidR="00E43898" w:rsidRPr="003F7852" w14:paraId="28C65F26" w14:textId="77777777" w:rsidTr="00C50933">
        <w:trPr>
          <w:trHeight w:val="567"/>
        </w:trPr>
        <w:tc>
          <w:tcPr>
            <w:tcW w:w="2518" w:type="dxa"/>
            <w:shd w:val="clear" w:color="auto" w:fill="FFFFCC"/>
            <w:vAlign w:val="center"/>
            <w:hideMark/>
          </w:tcPr>
          <w:p w14:paraId="277B9238"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18.3. Grumbullimi i të dhënave</w:t>
            </w:r>
          </w:p>
        </w:tc>
        <w:tc>
          <w:tcPr>
            <w:tcW w:w="8164" w:type="dxa"/>
            <w:shd w:val="clear" w:color="auto" w:fill="auto"/>
            <w:vAlign w:val="center"/>
          </w:tcPr>
          <w:p w14:paraId="4AA52A49" w14:textId="77777777" w:rsidR="00BE20D9" w:rsidRPr="003F7852" w:rsidRDefault="00BE20D9" w:rsidP="00D5060F">
            <w:pPr>
              <w:spacing w:before="240" w:after="30" w:line="240" w:lineRule="auto"/>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b/>
                <w:bCs/>
                <w:color w:val="000000"/>
                <w:sz w:val="24"/>
                <w:szCs w:val="24"/>
                <w:lang w:val="sq-AL"/>
              </w:rPr>
              <w:t>18.3.1 Tipi i Vrojtimit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132"/>
              <w:gridCol w:w="2806"/>
            </w:tblGrid>
            <w:tr w:rsidR="00BE20D9" w:rsidRPr="003F7852" w14:paraId="7A985B9C" w14:textId="77777777" w:rsidTr="00BE20D9">
              <w:tc>
                <w:tcPr>
                  <w:tcW w:w="5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541859" w14:textId="77777777" w:rsidR="00BE20D9" w:rsidRPr="003F7852" w:rsidRDefault="00BE20D9">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18.3.1.1 </w:t>
                  </w:r>
                  <w:r w:rsidRPr="003F7852">
                    <w:rPr>
                      <w:rFonts w:ascii="&amp;quot" w:eastAsia="Times New Roman" w:hAnsi="&amp;quot" w:cs="Times New Roman"/>
                      <w:sz w:val="24"/>
                      <w:szCs w:val="24"/>
                      <w:lang w:val="sq-AL"/>
                    </w:rPr>
                    <w:t>Kapaciteti</w:t>
                  </w: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6E266" w14:textId="77777777" w:rsidR="00BE20D9" w:rsidRPr="003F7852" w:rsidRDefault="00BE20D9">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Vrojtim pranë ndërmarrjeve që realizon INSTAT-i</w:t>
                  </w:r>
                </w:p>
              </w:tc>
            </w:tr>
            <w:tr w:rsidR="00BE20D9" w:rsidRPr="003F7852" w14:paraId="5FB0C735" w14:textId="77777777" w:rsidTr="00BE20D9">
              <w:tc>
                <w:tcPr>
                  <w:tcW w:w="5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FF79D7" w14:textId="77777777" w:rsidR="00BE20D9" w:rsidRPr="003F7852" w:rsidRDefault="00BE20D9">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lastRenderedPageBreak/>
                    <w:t xml:space="preserve">18.3.1.2 </w:t>
                  </w:r>
                  <w:r w:rsidRPr="003F7852">
                    <w:rPr>
                      <w:rFonts w:ascii="&amp;quot" w:eastAsia="Times New Roman" w:hAnsi="&amp;quot" w:cs="Times New Roman"/>
                      <w:sz w:val="24"/>
                      <w:szCs w:val="24"/>
                      <w:lang w:val="sq-AL"/>
                    </w:rPr>
                    <w:t>Shfrytëzimi </w:t>
                  </w: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204DA" w14:textId="77777777" w:rsidR="00BE20D9" w:rsidRPr="003F7852" w:rsidRDefault="00BE20D9">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Vrojtim pranë ndërmarrjeve që realizon INSTAT-i</w:t>
                  </w:r>
                </w:p>
              </w:tc>
            </w:tr>
            <w:tr w:rsidR="00BE20D9" w:rsidRPr="003F7852" w14:paraId="16179627" w14:textId="77777777" w:rsidTr="00BE20D9">
              <w:tc>
                <w:tcPr>
                  <w:tcW w:w="5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D715F2" w14:textId="77777777" w:rsidR="00BE20D9" w:rsidRPr="003F7852" w:rsidRDefault="00BE20D9">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18.3.1.3 Nëse një lloj tjetër ose jo- INSTAT, ose komente shtesë (p.sh. ndryshimet për klasën NACE), ju lutemi specifikoni.</w:t>
                  </w: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1B41D" w14:textId="77777777" w:rsidR="00BE20D9" w:rsidRPr="003F7852" w:rsidRDefault="00BE20D9">
                  <w:pPr>
                    <w:rPr>
                      <w:lang w:val="sq-AL"/>
                    </w:rPr>
                  </w:pPr>
                </w:p>
              </w:tc>
            </w:tr>
          </w:tbl>
          <w:p w14:paraId="21E812F0" w14:textId="77777777" w:rsidR="00E43898" w:rsidRPr="003F7852" w:rsidRDefault="00BE20D9" w:rsidP="00D5060F">
            <w:pPr>
              <w:spacing w:before="240" w:after="30" w:line="240" w:lineRule="auto"/>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b/>
                <w:bCs/>
                <w:color w:val="000000"/>
                <w:sz w:val="24"/>
                <w:szCs w:val="24"/>
                <w:lang w:val="sq-AL"/>
              </w:rPr>
              <w:t>18.3.2 Metoda e mbledhjes së të dhënave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133"/>
              <w:gridCol w:w="2805"/>
            </w:tblGrid>
            <w:tr w:rsidR="002A62B6" w:rsidRPr="003F7852" w14:paraId="0F342CF8" w14:textId="77777777" w:rsidTr="002A62B6">
              <w:trPr>
                <w:trHeight w:val="340"/>
              </w:trPr>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2B4093" w14:textId="77777777" w:rsidR="002A62B6" w:rsidRPr="003F7852" w:rsidRDefault="002A62B6" w:rsidP="002A62B6">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18.3.2.1 Kapaciteti</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593ADF" w14:textId="7A097BA7" w:rsidR="002A62B6" w:rsidRPr="00D5060F" w:rsidRDefault="002A62B6" w:rsidP="002A62B6">
                  <w:pPr>
                    <w:rPr>
                      <w:rFonts w:ascii="Times New Roman" w:eastAsia="Times New Roman" w:hAnsi="Times New Roman" w:cs="Times New Roman"/>
                      <w:sz w:val="24"/>
                      <w:szCs w:val="24"/>
                      <w:lang w:val="sq-AL"/>
                    </w:rPr>
                  </w:pPr>
                  <w:r w:rsidRPr="00D5060F">
                    <w:rPr>
                      <w:rFonts w:ascii="&amp;quot" w:eastAsia="Times New Roman" w:hAnsi="&amp;quot" w:cs="Times New Roman"/>
                      <w:sz w:val="24"/>
                      <w:szCs w:val="24"/>
                      <w:lang w:val="sq-AL"/>
                    </w:rPr>
                    <w:t>Intervistë Personale me Pyetësor në Letër</w:t>
                  </w:r>
                  <w:r w:rsidR="003A15FE" w:rsidRPr="00D5060F">
                    <w:rPr>
                      <w:rFonts w:ascii="&amp;quot" w:eastAsia="Times New Roman" w:hAnsi="&amp;quot" w:cs="Times New Roman"/>
                      <w:sz w:val="24"/>
                      <w:szCs w:val="24"/>
                      <w:lang w:val="sq-AL"/>
                    </w:rPr>
                    <w:t>,</w:t>
                  </w:r>
                  <w:r w:rsidR="003A15FE" w:rsidRPr="00D5060F">
                    <w:t xml:space="preserve"> </w:t>
                  </w:r>
                  <w:r w:rsidR="003A15FE" w:rsidRPr="00D5060F">
                    <w:rPr>
                      <w:rFonts w:ascii="&amp;quot" w:eastAsia="Times New Roman" w:hAnsi="&amp;quot" w:cs="Times New Roman"/>
                      <w:sz w:val="24"/>
                      <w:szCs w:val="24"/>
                      <w:lang w:val="sq-AL"/>
                    </w:rPr>
                    <w:t xml:space="preserve">Intervistë telefonike e </w:t>
                  </w:r>
                  <w:r w:rsidR="00DA0AB7" w:rsidRPr="00D5060F">
                    <w:rPr>
                      <w:rFonts w:ascii="&amp;quot" w:eastAsia="Times New Roman" w:hAnsi="&amp;quot" w:cs="Times New Roman"/>
                      <w:sz w:val="24"/>
                      <w:szCs w:val="24"/>
                      <w:lang w:val="sq-AL"/>
                    </w:rPr>
                    <w:t>ndërmarrjeve</w:t>
                  </w:r>
                </w:p>
              </w:tc>
            </w:tr>
            <w:tr w:rsidR="002A62B6" w:rsidRPr="003F7852" w14:paraId="20181C84" w14:textId="77777777" w:rsidTr="002A62B6">
              <w:trPr>
                <w:trHeight w:val="340"/>
              </w:trPr>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ADE329" w14:textId="77777777" w:rsidR="002A62B6" w:rsidRPr="003F7852" w:rsidRDefault="002A62B6" w:rsidP="002A62B6">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18.3.2.2 Shfrytëzimi</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F07729" w14:textId="083E337D" w:rsidR="002A62B6" w:rsidRPr="00D5060F" w:rsidRDefault="002A62B6" w:rsidP="00DA0AB7">
                  <w:pPr>
                    <w:rPr>
                      <w:rFonts w:ascii="Times New Roman" w:eastAsia="Times New Roman" w:hAnsi="Times New Roman" w:cs="Times New Roman"/>
                      <w:sz w:val="24"/>
                      <w:szCs w:val="24"/>
                      <w:lang w:val="sq-AL"/>
                    </w:rPr>
                  </w:pPr>
                  <w:r w:rsidRPr="00D5060F">
                    <w:rPr>
                      <w:rFonts w:ascii="&amp;quot" w:eastAsia="Times New Roman" w:hAnsi="&amp;quot" w:cs="Times New Roman"/>
                      <w:sz w:val="24"/>
                      <w:szCs w:val="24"/>
                      <w:lang w:val="sq-AL"/>
                    </w:rPr>
                    <w:t>Intervistë Personale me Pyetësor në Letër</w:t>
                  </w:r>
                  <w:r w:rsidR="003A15FE" w:rsidRPr="00D5060F">
                    <w:rPr>
                      <w:rFonts w:ascii="&amp;quot" w:eastAsia="Times New Roman" w:hAnsi="&amp;quot" w:cs="Times New Roman"/>
                      <w:sz w:val="24"/>
                      <w:szCs w:val="24"/>
                      <w:lang w:val="sq-AL"/>
                    </w:rPr>
                    <w:t xml:space="preserve">, Intervistë telefonike e </w:t>
                  </w:r>
                  <w:r w:rsidR="00DA0AB7" w:rsidRPr="00D5060F">
                    <w:rPr>
                      <w:rFonts w:ascii="&amp;quot" w:eastAsia="Times New Roman" w:hAnsi="&amp;quot" w:cs="Times New Roman"/>
                      <w:sz w:val="24"/>
                      <w:szCs w:val="24"/>
                      <w:lang w:val="sq-AL"/>
                    </w:rPr>
                    <w:t>ndërmarrjeve</w:t>
                  </w:r>
                </w:p>
              </w:tc>
            </w:tr>
            <w:tr w:rsidR="002A62B6" w:rsidRPr="003F7852" w14:paraId="43730D31" w14:textId="77777777" w:rsidTr="002A62B6">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AA568" w14:textId="77777777" w:rsidR="002A62B6" w:rsidRPr="003F7852" w:rsidRDefault="002A62B6" w:rsidP="002A62B6">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 xml:space="preserve">18.3.2.3 </w:t>
                  </w:r>
                  <w:r w:rsidRPr="003F7852">
                    <w:rPr>
                      <w:rFonts w:ascii="&amp;quot" w:eastAsia="Times New Roman" w:hAnsi="&amp;quot" w:cs="Times New Roman"/>
                      <w:color w:val="000000"/>
                      <w:sz w:val="24"/>
                      <w:szCs w:val="24"/>
                      <w:lang w:val="sq-AL"/>
                    </w:rPr>
                    <w:t>Nëse një lloj tjetër ose jo- INSTAT, ose komente shtesë (p.sh. ndryshimet për klasën NACE), ju lutemi specifikoni.</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785C20" w14:textId="77777777" w:rsidR="002A62B6" w:rsidRPr="003F7852" w:rsidRDefault="002A62B6" w:rsidP="002A62B6">
                  <w:pPr>
                    <w:rPr>
                      <w:lang w:val="sq-AL"/>
                    </w:rPr>
                  </w:pPr>
                </w:p>
              </w:tc>
            </w:tr>
            <w:tr w:rsidR="002A62B6" w:rsidRPr="003F7852" w14:paraId="4A28AF5E" w14:textId="77777777" w:rsidTr="002A62B6">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CDFB46" w14:textId="77777777" w:rsidR="002A62B6" w:rsidRPr="003F7852" w:rsidRDefault="002A62B6" w:rsidP="002A62B6">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18.3.2.4 Nëse përdoret një kombinim i metodave të mbledhjes së të dhënave, ju lutemi tregoni pjesën e institucioneve raportuese për metodën (si dhe pjesën e tyre në netët totale të kaluara)</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D8A8B" w14:textId="77777777" w:rsidR="002A62B6" w:rsidRPr="003F7852" w:rsidRDefault="002A62B6" w:rsidP="002A62B6">
                  <w:pPr>
                    <w:rPr>
                      <w:rFonts w:ascii="Times New Roman" w:eastAsia="Times New Roman" w:hAnsi="Times New Roman" w:cs="Times New Roman"/>
                      <w:sz w:val="24"/>
                      <w:szCs w:val="24"/>
                      <w:lang w:val="sq-AL"/>
                    </w:rPr>
                  </w:pPr>
                </w:p>
              </w:tc>
            </w:tr>
            <w:tr w:rsidR="002A62B6" w:rsidRPr="003F7852" w14:paraId="3F74A410" w14:textId="77777777" w:rsidTr="002A62B6">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DC7DD2" w14:textId="77777777" w:rsidR="002A62B6" w:rsidRPr="003F7852" w:rsidRDefault="002A62B6" w:rsidP="00F10AC5">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 xml:space="preserve">18.3.2.5 </w:t>
                  </w:r>
                  <w:r w:rsidR="00F10AC5" w:rsidRPr="003F7852">
                    <w:rPr>
                      <w:rFonts w:ascii="&amp;quot" w:eastAsia="Times New Roman" w:hAnsi="&amp;quot" w:cs="Times New Roman"/>
                      <w:color w:val="000000"/>
                      <w:sz w:val="24"/>
                      <w:szCs w:val="24"/>
                      <w:lang w:val="sq-AL"/>
                    </w:rPr>
                    <w:t xml:space="preserve">Pyetësori në gjuhën </w:t>
                  </w:r>
                  <w:r w:rsidR="004F5A78" w:rsidRPr="003F7852">
                    <w:rPr>
                      <w:rFonts w:ascii="&amp;quot" w:eastAsia="Times New Roman" w:hAnsi="&amp;quot" w:cs="Times New Roman"/>
                      <w:sz w:val="24"/>
                      <w:szCs w:val="24"/>
                      <w:lang w:val="sq-AL"/>
                    </w:rPr>
                    <w:t xml:space="preserve">shqipe </w:t>
                  </w:r>
                  <w:r w:rsidRPr="003F7852">
                    <w:rPr>
                      <w:rFonts w:ascii="&amp;quot" w:eastAsia="Times New Roman" w:hAnsi="&amp;quot" w:cs="Times New Roman"/>
                      <w:sz w:val="24"/>
                      <w:szCs w:val="24"/>
                      <w:lang w:val="sq-AL"/>
                    </w:rPr>
                    <w:t>(Annex/Link)</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D39E81" w14:textId="77777777" w:rsidR="002A62B6" w:rsidRPr="003F7852" w:rsidRDefault="002A62B6" w:rsidP="002A62B6">
                  <w:pPr>
                    <w:spacing w:before="30" w:after="30"/>
                    <w:rPr>
                      <w:rFonts w:ascii="Times New Roman" w:eastAsia="Times New Roman" w:hAnsi="Times New Roman" w:cs="Times New Roman"/>
                      <w:sz w:val="24"/>
                      <w:szCs w:val="24"/>
                      <w:lang w:val="sq-AL"/>
                    </w:rPr>
                  </w:pPr>
                </w:p>
              </w:tc>
            </w:tr>
            <w:tr w:rsidR="002A62B6" w:rsidRPr="003F7852" w14:paraId="4C18FCD5" w14:textId="77777777" w:rsidTr="002A62B6">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C6D48C" w14:textId="77777777" w:rsidR="002A62B6" w:rsidRPr="003F7852" w:rsidRDefault="002A62B6" w:rsidP="00F10AC5">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 xml:space="preserve">18.3.2.6 </w:t>
                  </w:r>
                  <w:r w:rsidR="00F10AC5" w:rsidRPr="003F7852">
                    <w:rPr>
                      <w:rFonts w:ascii="&amp;quot" w:eastAsia="Times New Roman" w:hAnsi="&amp;quot" w:cs="Times New Roman"/>
                      <w:color w:val="000000"/>
                      <w:sz w:val="24"/>
                      <w:szCs w:val="24"/>
                      <w:lang w:val="sq-AL"/>
                    </w:rPr>
                    <w:t>Pyetësori në gjuhën angleze</w:t>
                  </w:r>
                  <w:r w:rsidR="00F10AC5" w:rsidRPr="003F7852">
                    <w:rPr>
                      <w:rFonts w:ascii="&amp;quot" w:eastAsia="Times New Roman" w:hAnsi="&amp;quot" w:cs="Times New Roman"/>
                      <w:sz w:val="24"/>
                      <w:szCs w:val="24"/>
                      <w:lang w:val="sq-AL"/>
                    </w:rPr>
                    <w:t xml:space="preserve"> </w:t>
                  </w:r>
                  <w:r w:rsidRPr="003F7852">
                    <w:rPr>
                      <w:rFonts w:ascii="&amp;quot" w:eastAsia="Times New Roman" w:hAnsi="&amp;quot" w:cs="Times New Roman"/>
                      <w:sz w:val="24"/>
                      <w:szCs w:val="24"/>
                      <w:lang w:val="sq-AL"/>
                    </w:rPr>
                    <w:t>(Annex/Link)</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D4FDC9" w14:textId="77777777" w:rsidR="002A62B6" w:rsidRPr="003F7852" w:rsidRDefault="002A62B6" w:rsidP="002A62B6">
                  <w:pPr>
                    <w:spacing w:before="30" w:after="30"/>
                    <w:rPr>
                      <w:rFonts w:ascii="Times New Roman" w:eastAsia="Times New Roman" w:hAnsi="Times New Roman" w:cs="Times New Roman"/>
                      <w:sz w:val="24"/>
                      <w:szCs w:val="24"/>
                      <w:lang w:val="sq-AL"/>
                    </w:rPr>
                  </w:pPr>
                </w:p>
              </w:tc>
            </w:tr>
            <w:tr w:rsidR="002A62B6" w:rsidRPr="003F7852" w14:paraId="4D08B7EF" w14:textId="77777777" w:rsidTr="002A62B6">
              <w:tc>
                <w:tcPr>
                  <w:tcW w:w="32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8581C" w14:textId="77777777" w:rsidR="002A62B6" w:rsidRPr="003F7852" w:rsidRDefault="002A62B6" w:rsidP="00F10AC5">
                  <w:pPr>
                    <w:rPr>
                      <w:rFonts w:ascii="Times New Roman" w:eastAsia="Times New Roman" w:hAnsi="Times New Roman" w:cs="Times New Roman"/>
                      <w:sz w:val="24"/>
                      <w:szCs w:val="24"/>
                      <w:lang w:val="sq-AL"/>
                    </w:rPr>
                  </w:pPr>
                  <w:r w:rsidRPr="003F7852">
                    <w:rPr>
                      <w:rFonts w:ascii="&amp;quot" w:eastAsia="Times New Roman" w:hAnsi="&amp;quot" w:cs="Times New Roman"/>
                      <w:sz w:val="24"/>
                      <w:szCs w:val="24"/>
                      <w:lang w:val="sq-AL"/>
                    </w:rPr>
                    <w:t xml:space="preserve">18.3.2.7 </w:t>
                  </w:r>
                  <w:r w:rsidR="00F10AC5" w:rsidRPr="003F7852">
                    <w:rPr>
                      <w:rFonts w:ascii="&amp;quot" w:eastAsia="Times New Roman" w:hAnsi="&amp;quot" w:cs="Times New Roman"/>
                      <w:sz w:val="24"/>
                      <w:szCs w:val="24"/>
                      <w:lang w:val="sq-AL"/>
                    </w:rPr>
                    <w:t>Udhëzuesi i anketuesit</w:t>
                  </w:r>
                  <w:r w:rsidR="004F5A78" w:rsidRPr="003F7852">
                    <w:rPr>
                      <w:rFonts w:ascii="&amp;quot" w:eastAsia="Times New Roman" w:hAnsi="&amp;quot" w:cs="Times New Roman"/>
                      <w:sz w:val="24"/>
                      <w:szCs w:val="24"/>
                      <w:lang w:val="sq-AL"/>
                    </w:rPr>
                    <w:t xml:space="preserve"> në gjuhën shqipe </w:t>
                  </w:r>
                  <w:r w:rsidRPr="003F7852">
                    <w:rPr>
                      <w:rFonts w:ascii="&amp;quot" w:eastAsia="Times New Roman" w:hAnsi="&amp;quot" w:cs="Times New Roman"/>
                      <w:sz w:val="24"/>
                      <w:szCs w:val="24"/>
                      <w:lang w:val="sq-AL"/>
                    </w:rPr>
                    <w:t>(Annex/Link)</w:t>
                  </w:r>
                </w:p>
              </w:tc>
              <w:tc>
                <w:tcPr>
                  <w:tcW w:w="17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49171E" w14:textId="77777777" w:rsidR="002A62B6" w:rsidRPr="003F7852" w:rsidRDefault="002A62B6" w:rsidP="002A62B6">
                  <w:pPr>
                    <w:rPr>
                      <w:lang w:val="sq-AL"/>
                    </w:rPr>
                  </w:pPr>
                </w:p>
              </w:tc>
            </w:tr>
          </w:tbl>
          <w:p w14:paraId="62852417" w14:textId="77777777" w:rsidR="00BE20D9" w:rsidRPr="003F7852" w:rsidRDefault="00BE20D9" w:rsidP="00153622">
            <w:pPr>
              <w:spacing w:before="240"/>
              <w:jc w:val="both"/>
              <w:rPr>
                <w:rFonts w:ascii="Times New Roman" w:eastAsia="Times New Roman" w:hAnsi="Times New Roman" w:cs="Times New Roman"/>
                <w:noProof/>
                <w:color w:val="000000"/>
                <w:sz w:val="24"/>
                <w:szCs w:val="24"/>
                <w:lang w:val="sq-AL" w:eastAsia="sq-AL"/>
              </w:rPr>
            </w:pPr>
          </w:p>
        </w:tc>
      </w:tr>
      <w:tr w:rsidR="00E43898" w:rsidRPr="003F7852" w14:paraId="53BF8E2D" w14:textId="77777777" w:rsidTr="00D5060F">
        <w:trPr>
          <w:trHeight w:val="449"/>
        </w:trPr>
        <w:tc>
          <w:tcPr>
            <w:tcW w:w="2518" w:type="dxa"/>
            <w:shd w:val="clear" w:color="auto" w:fill="FFFFCC"/>
            <w:vAlign w:val="center"/>
            <w:hideMark/>
          </w:tcPr>
          <w:p w14:paraId="5D3CF1A5"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18.4. Vlefshmëria e të dhënave</w:t>
            </w:r>
          </w:p>
        </w:tc>
        <w:tc>
          <w:tcPr>
            <w:tcW w:w="8164" w:type="dxa"/>
            <w:shd w:val="clear" w:color="auto" w:fill="auto"/>
            <w:vAlign w:val="center"/>
          </w:tcPr>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84"/>
              <w:gridCol w:w="6254"/>
            </w:tblGrid>
            <w:tr w:rsidR="00070E72" w:rsidRPr="003F7852" w14:paraId="2D712E5B" w14:textId="77777777" w:rsidTr="003F7852">
              <w:tc>
                <w:tcPr>
                  <w:tcW w:w="10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0F33AB" w14:textId="77777777" w:rsidR="00070E72" w:rsidRPr="003F7852" w:rsidRDefault="00070E72">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18.4.1 </w:t>
                  </w:r>
                  <w:r w:rsidRPr="003F7852">
                    <w:rPr>
                      <w:rFonts w:ascii="&amp;quot" w:eastAsia="Times New Roman" w:hAnsi="&amp;quot" w:cs="Times New Roman"/>
                      <w:sz w:val="24"/>
                      <w:szCs w:val="24"/>
                      <w:lang w:val="sq-AL"/>
                    </w:rPr>
                    <w:t>Kapaciteti</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DC9BE" w14:textId="77777777" w:rsidR="00070E72" w:rsidRPr="003F7852" w:rsidRDefault="00D03362" w:rsidP="00F27867">
                  <w:pPr>
                    <w:spacing w:before="30" w:after="30"/>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 xml:space="preserve">Për ndërmarrjet që plotësojnë pyetësorin mujor, ekzistojnë një numër kontrollesh paraprake </w:t>
                  </w:r>
                  <w:r w:rsidR="003F7852" w:rsidRPr="003F7852">
                    <w:rPr>
                      <w:rFonts w:ascii="Times New Roman" w:eastAsia="Times New Roman" w:hAnsi="Times New Roman" w:cs="Times New Roman"/>
                      <w:color w:val="000000"/>
                      <w:sz w:val="24"/>
                      <w:szCs w:val="24"/>
                      <w:lang w:val="sq-AL"/>
                    </w:rPr>
                    <w:t>cross-validation</w:t>
                  </w:r>
                  <w:r w:rsidRPr="003F7852">
                    <w:rPr>
                      <w:rFonts w:ascii="Times New Roman" w:eastAsia="Times New Roman" w:hAnsi="Times New Roman" w:cs="Times New Roman"/>
                      <w:color w:val="000000"/>
                      <w:sz w:val="24"/>
                      <w:szCs w:val="24"/>
                      <w:lang w:val="sq-AL"/>
                    </w:rPr>
                    <w:t xml:space="preserve"> me qëllim të kufizimit të gabimeve të hedhjes së të dhënave në program. Nëse gjendet ndonjë gabim, INSTAT kontakton si fillim me anketuesi</w:t>
                  </w:r>
                  <w:r w:rsidR="003F7852">
                    <w:rPr>
                      <w:rFonts w:ascii="Times New Roman" w:eastAsia="Times New Roman" w:hAnsi="Times New Roman" w:cs="Times New Roman"/>
                      <w:color w:val="000000"/>
                      <w:sz w:val="24"/>
                      <w:szCs w:val="24"/>
                      <w:lang w:val="sq-AL"/>
                    </w:rPr>
                    <w:t>n</w:t>
                  </w:r>
                  <w:r w:rsidRPr="003F7852">
                    <w:rPr>
                      <w:rFonts w:ascii="Times New Roman" w:eastAsia="Times New Roman" w:hAnsi="Times New Roman" w:cs="Times New Roman"/>
                      <w:color w:val="000000"/>
                      <w:sz w:val="24"/>
                      <w:szCs w:val="24"/>
                      <w:lang w:val="sq-AL"/>
                    </w:rPr>
                    <w:t xml:space="preserve">, zyrën rajonale, dhe në fund me të anketuarin dhe gabimi korrigjohet. Sapo të dhënat ngarkohen në bazën e të dhënave qëndrore, </w:t>
                  </w:r>
                  <w:r w:rsidR="003F7852">
                    <w:rPr>
                      <w:rFonts w:ascii="Times New Roman" w:eastAsia="Times New Roman" w:hAnsi="Times New Roman" w:cs="Times New Roman"/>
                      <w:color w:val="000000"/>
                      <w:sz w:val="24"/>
                      <w:szCs w:val="24"/>
                      <w:lang w:val="sq-AL"/>
                    </w:rPr>
                    <w:t>zbatohet</w:t>
                  </w:r>
                  <w:r w:rsidRPr="003F7852">
                    <w:rPr>
                      <w:rFonts w:ascii="Times New Roman" w:eastAsia="Times New Roman" w:hAnsi="Times New Roman" w:cs="Times New Roman"/>
                      <w:color w:val="000000"/>
                      <w:sz w:val="24"/>
                      <w:szCs w:val="24"/>
                      <w:lang w:val="sq-AL"/>
                    </w:rPr>
                    <w:t xml:space="preserve"> një numër i konsiderueshëm vlerësimesh, kontrollesh cross-sectional dhe longitudinal dhe për çdo editim të mundshëm vendoset shënim në seksionin e dedikuar “Shënime”. Nëse përsëri pas kësaj faze gjenden gabime apo jo konsistence në të dhënat individuale të ndërmarrjeve, rifillon proçesi i kontaktimit si fillim me anketuesin, zyrën rajonal</w:t>
                  </w:r>
                  <w:r w:rsidR="00F27867">
                    <w:rPr>
                      <w:rFonts w:ascii="Times New Roman" w:eastAsia="Times New Roman" w:hAnsi="Times New Roman" w:cs="Times New Roman"/>
                      <w:color w:val="000000"/>
                      <w:sz w:val="24"/>
                      <w:szCs w:val="24"/>
                      <w:lang w:val="sq-AL"/>
                    </w:rPr>
                    <w:t>e, dhe në fund me të anketuarin. G</w:t>
                  </w:r>
                  <w:r w:rsidRPr="003F7852">
                    <w:rPr>
                      <w:rFonts w:ascii="Times New Roman" w:eastAsia="Times New Roman" w:hAnsi="Times New Roman" w:cs="Times New Roman"/>
                      <w:color w:val="000000"/>
                      <w:sz w:val="24"/>
                      <w:szCs w:val="24"/>
                      <w:lang w:val="sq-AL"/>
                    </w:rPr>
                    <w:t>abimi editohet dhe përsëri për çdo editim të mundshëm vendoset shënim në seksionin e dedikuar “Shënime”.</w:t>
                  </w:r>
                </w:p>
              </w:tc>
            </w:tr>
            <w:tr w:rsidR="003F7852" w:rsidRPr="003F7852" w14:paraId="6A0A0A95" w14:textId="77777777" w:rsidTr="003F7852">
              <w:tc>
                <w:tcPr>
                  <w:tcW w:w="10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0C129A" w14:textId="77777777" w:rsidR="003F7852" w:rsidRPr="003F7852" w:rsidRDefault="003F7852">
                  <w:pPr>
                    <w:rPr>
                      <w:rFonts w:ascii="Times New Roman" w:eastAsia="Times New Roman" w:hAnsi="Times New Roman" w:cs="Times New Roman"/>
                      <w:color w:val="000000"/>
                      <w:sz w:val="24"/>
                      <w:szCs w:val="24"/>
                      <w:lang w:val="sq-AL"/>
                    </w:rPr>
                  </w:pPr>
                  <w:r w:rsidRPr="003F7852">
                    <w:rPr>
                      <w:rFonts w:ascii="&amp;quot" w:eastAsia="Times New Roman" w:hAnsi="&amp;quot" w:cs="Times New Roman"/>
                      <w:color w:val="000000"/>
                      <w:sz w:val="24"/>
                      <w:szCs w:val="24"/>
                      <w:lang w:val="sq-AL"/>
                    </w:rPr>
                    <w:t xml:space="preserve">18.4.2 </w:t>
                  </w:r>
                  <w:r w:rsidRPr="003F7852">
                    <w:rPr>
                      <w:rFonts w:ascii="&amp;quot" w:eastAsia="Times New Roman" w:hAnsi="&amp;quot" w:cs="Times New Roman"/>
                      <w:sz w:val="24"/>
                      <w:szCs w:val="24"/>
                      <w:lang w:val="sq-AL"/>
                    </w:rPr>
                    <w:t>Shfrytëzimi</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28AF7" w14:textId="77777777" w:rsidR="003F7852" w:rsidRPr="003F7852" w:rsidRDefault="00F27867" w:rsidP="005217C1">
                  <w:pPr>
                    <w:spacing w:before="30" w:after="30"/>
                    <w:jc w:val="both"/>
                    <w:rPr>
                      <w:rFonts w:ascii="Times New Roman" w:eastAsia="Times New Roman" w:hAnsi="Times New Roman" w:cs="Times New Roman"/>
                      <w:color w:val="000000"/>
                      <w:sz w:val="24"/>
                      <w:szCs w:val="24"/>
                      <w:lang w:val="sq-AL"/>
                    </w:rPr>
                  </w:pPr>
                  <w:r w:rsidRPr="003F7852">
                    <w:rPr>
                      <w:rFonts w:ascii="Times New Roman" w:eastAsia="Times New Roman" w:hAnsi="Times New Roman" w:cs="Times New Roman"/>
                      <w:color w:val="000000"/>
                      <w:sz w:val="24"/>
                      <w:szCs w:val="24"/>
                      <w:lang w:val="sq-AL"/>
                    </w:rPr>
                    <w:t>Për ndërmarrjet që plotësojnë pyetësorin mujor, ekzistojnë një numër kontrollesh paraprake cross-validation me qëllim të kufizimit të gabimeve të hedhjes së të dhënave në program. Nëse gjendet ndonjë gabim, INSTAT kontakton si fillim me anketuesi</w:t>
                  </w:r>
                  <w:r>
                    <w:rPr>
                      <w:rFonts w:ascii="Times New Roman" w:eastAsia="Times New Roman" w:hAnsi="Times New Roman" w:cs="Times New Roman"/>
                      <w:color w:val="000000"/>
                      <w:sz w:val="24"/>
                      <w:szCs w:val="24"/>
                      <w:lang w:val="sq-AL"/>
                    </w:rPr>
                    <w:t>n</w:t>
                  </w:r>
                  <w:r w:rsidRPr="003F7852">
                    <w:rPr>
                      <w:rFonts w:ascii="Times New Roman" w:eastAsia="Times New Roman" w:hAnsi="Times New Roman" w:cs="Times New Roman"/>
                      <w:color w:val="000000"/>
                      <w:sz w:val="24"/>
                      <w:szCs w:val="24"/>
                      <w:lang w:val="sq-AL"/>
                    </w:rPr>
                    <w:t xml:space="preserve">, zyrën rajonale, dhe në fund me të anketuarin dhe gabimi korrigjohet. Sapo të dhënat ngarkohen në bazën e të dhënave qëndrore, </w:t>
                  </w:r>
                  <w:r>
                    <w:rPr>
                      <w:rFonts w:ascii="Times New Roman" w:eastAsia="Times New Roman" w:hAnsi="Times New Roman" w:cs="Times New Roman"/>
                      <w:color w:val="000000"/>
                      <w:sz w:val="24"/>
                      <w:szCs w:val="24"/>
                      <w:lang w:val="sq-AL"/>
                    </w:rPr>
                    <w:t>zbatohet</w:t>
                  </w:r>
                  <w:r w:rsidRPr="003F7852">
                    <w:rPr>
                      <w:rFonts w:ascii="Times New Roman" w:eastAsia="Times New Roman" w:hAnsi="Times New Roman" w:cs="Times New Roman"/>
                      <w:color w:val="000000"/>
                      <w:sz w:val="24"/>
                      <w:szCs w:val="24"/>
                      <w:lang w:val="sq-AL"/>
                    </w:rPr>
                    <w:t xml:space="preserve"> një numër i konsiderueshëm </w:t>
                  </w:r>
                  <w:r w:rsidRPr="003F7852">
                    <w:rPr>
                      <w:rFonts w:ascii="Times New Roman" w:eastAsia="Times New Roman" w:hAnsi="Times New Roman" w:cs="Times New Roman"/>
                      <w:color w:val="000000"/>
                      <w:sz w:val="24"/>
                      <w:szCs w:val="24"/>
                      <w:lang w:val="sq-AL"/>
                    </w:rPr>
                    <w:lastRenderedPageBreak/>
                    <w:t>vlerësimesh, kontrollesh cross-sectional dhe longitudinal dhe për çdo editim të mundshëm vendoset shënim në seksionin e dedikuar “Shënime”. Nëse përsëri pas kësaj faze gjenden gabime apo jo konsistence në të dhënat individuale të ndërmarrjeve, rifillon proçesi i kontaktimit si fillim me anketuesin, zyrën rajonal</w:t>
                  </w:r>
                  <w:r>
                    <w:rPr>
                      <w:rFonts w:ascii="Times New Roman" w:eastAsia="Times New Roman" w:hAnsi="Times New Roman" w:cs="Times New Roman"/>
                      <w:color w:val="000000"/>
                      <w:sz w:val="24"/>
                      <w:szCs w:val="24"/>
                      <w:lang w:val="sq-AL"/>
                    </w:rPr>
                    <w:t>e, dhe në fund me të anketuarin. G</w:t>
                  </w:r>
                  <w:r w:rsidRPr="003F7852">
                    <w:rPr>
                      <w:rFonts w:ascii="Times New Roman" w:eastAsia="Times New Roman" w:hAnsi="Times New Roman" w:cs="Times New Roman"/>
                      <w:color w:val="000000"/>
                      <w:sz w:val="24"/>
                      <w:szCs w:val="24"/>
                      <w:lang w:val="sq-AL"/>
                    </w:rPr>
                    <w:t>abimi editohet dhe përsëri për çdo editim të mundshëm vendoset shënim në seksionin e dedikuar “Shënime”.</w:t>
                  </w:r>
                </w:p>
              </w:tc>
            </w:tr>
          </w:tbl>
          <w:p w14:paraId="1E44E2DA" w14:textId="77777777" w:rsidR="00E43898" w:rsidRPr="003F7852" w:rsidRDefault="00E43898" w:rsidP="00153622">
            <w:pPr>
              <w:spacing w:before="240"/>
              <w:jc w:val="both"/>
              <w:rPr>
                <w:rFonts w:ascii="Times New Roman" w:eastAsia="Times New Roman" w:hAnsi="Times New Roman" w:cs="Times New Roman"/>
                <w:noProof/>
                <w:color w:val="000000"/>
                <w:sz w:val="24"/>
                <w:szCs w:val="24"/>
                <w:lang w:val="sq-AL" w:eastAsia="sq-AL"/>
              </w:rPr>
            </w:pPr>
          </w:p>
        </w:tc>
      </w:tr>
      <w:tr w:rsidR="00E43898" w:rsidRPr="003F7852" w14:paraId="4782E127" w14:textId="77777777" w:rsidTr="00C50933">
        <w:trPr>
          <w:trHeight w:val="567"/>
        </w:trPr>
        <w:tc>
          <w:tcPr>
            <w:tcW w:w="2518" w:type="dxa"/>
            <w:shd w:val="clear" w:color="auto" w:fill="FFFFCC"/>
            <w:vAlign w:val="center"/>
            <w:hideMark/>
          </w:tcPr>
          <w:p w14:paraId="76BE2B09" w14:textId="77777777" w:rsidR="00E43898" w:rsidRPr="003F7852" w:rsidRDefault="00E43898"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lastRenderedPageBreak/>
              <w:t>18.5. Përpilimi i të dhënave </w:t>
            </w:r>
          </w:p>
        </w:tc>
        <w:tc>
          <w:tcPr>
            <w:tcW w:w="8164" w:type="dxa"/>
            <w:shd w:val="clear" w:color="auto" w:fill="auto"/>
            <w:vAlign w:val="center"/>
          </w:tcPr>
          <w:p w14:paraId="7885FE8A" w14:textId="77777777" w:rsidR="00E43898" w:rsidRPr="003F7852" w:rsidRDefault="008444D0" w:rsidP="00F27867">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Të dhënat e munguara në nivel nd</w:t>
            </w:r>
            <w:r w:rsidR="00B31593" w:rsidRPr="003F7852">
              <w:rPr>
                <w:rFonts w:ascii="Times New Roman" w:eastAsia="Times New Roman" w:hAnsi="Times New Roman" w:cs="Times New Roman"/>
                <w:noProof/>
                <w:color w:val="000000"/>
                <w:sz w:val="24"/>
                <w:szCs w:val="24"/>
                <w:lang w:val="sq-AL" w:eastAsia="sq-AL"/>
              </w:rPr>
              <w:t>ë</w:t>
            </w:r>
            <w:r w:rsidRPr="003F7852">
              <w:rPr>
                <w:rFonts w:ascii="Times New Roman" w:eastAsia="Times New Roman" w:hAnsi="Times New Roman" w:cs="Times New Roman"/>
                <w:noProof/>
                <w:color w:val="000000"/>
                <w:sz w:val="24"/>
                <w:szCs w:val="24"/>
                <w:lang w:val="sq-AL" w:eastAsia="sq-AL"/>
              </w:rPr>
              <w:t xml:space="preserve">rmarrjeje imputohen duke përdorur metoda të përshtatshme matematikore </w:t>
            </w:r>
            <w:r w:rsidR="00B31593" w:rsidRPr="003F7852">
              <w:rPr>
                <w:rFonts w:ascii="Times New Roman" w:eastAsia="Times New Roman" w:hAnsi="Times New Roman" w:cs="Times New Roman"/>
                <w:noProof/>
                <w:color w:val="000000"/>
                <w:sz w:val="24"/>
                <w:szCs w:val="24"/>
                <w:lang w:val="sq-AL" w:eastAsia="sq-AL"/>
              </w:rPr>
              <w:t>me</w:t>
            </w:r>
            <w:r w:rsidRPr="003F7852">
              <w:rPr>
                <w:rFonts w:ascii="Times New Roman" w:eastAsia="Times New Roman" w:hAnsi="Times New Roman" w:cs="Times New Roman"/>
                <w:noProof/>
                <w:color w:val="000000"/>
                <w:sz w:val="24"/>
                <w:szCs w:val="24"/>
                <w:lang w:val="sq-AL" w:eastAsia="sq-AL"/>
              </w:rPr>
              <w:t xml:space="preserve"> të dhënat e periudhave të mëparshme. Ndonjëherë </w:t>
            </w:r>
            <w:r w:rsidR="00F27867">
              <w:rPr>
                <w:rFonts w:ascii="Times New Roman" w:eastAsia="Times New Roman" w:hAnsi="Times New Roman" w:cs="Times New Roman"/>
                <w:noProof/>
                <w:color w:val="000000"/>
                <w:sz w:val="24"/>
                <w:szCs w:val="24"/>
                <w:lang w:val="sq-AL" w:eastAsia="sq-AL"/>
              </w:rPr>
              <w:t xml:space="preserve">identifikohen të dhëna jo konsistente </w:t>
            </w:r>
            <w:r w:rsidR="00B31593" w:rsidRPr="003F7852">
              <w:rPr>
                <w:rFonts w:ascii="Times New Roman" w:eastAsia="Times New Roman" w:hAnsi="Times New Roman" w:cs="Times New Roman"/>
                <w:noProof/>
                <w:color w:val="000000"/>
                <w:sz w:val="24"/>
                <w:szCs w:val="24"/>
                <w:lang w:val="sq-AL" w:eastAsia="sq-AL"/>
              </w:rPr>
              <w:t>në nivel ndërmarrje ose treguesi</w:t>
            </w:r>
            <w:r w:rsidR="00042279">
              <w:rPr>
                <w:rFonts w:ascii="Times New Roman" w:eastAsia="Times New Roman" w:hAnsi="Times New Roman" w:cs="Times New Roman"/>
                <w:noProof/>
                <w:color w:val="000000"/>
                <w:sz w:val="24"/>
                <w:szCs w:val="24"/>
                <w:lang w:val="sq-AL" w:eastAsia="sq-AL"/>
              </w:rPr>
              <w:t xml:space="preserve">, të cilat duhet të fshihen. </w:t>
            </w:r>
            <w:r w:rsidR="00B31593" w:rsidRPr="003F7852">
              <w:rPr>
                <w:rFonts w:ascii="Times New Roman" w:eastAsia="Times New Roman" w:hAnsi="Times New Roman" w:cs="Times New Roman"/>
                <w:noProof/>
                <w:color w:val="000000"/>
                <w:sz w:val="24"/>
                <w:szCs w:val="24"/>
                <w:lang w:val="sq-AL" w:eastAsia="sq-AL"/>
              </w:rPr>
              <w:t>Hapi tjetër është imputimi në nivel ndërmarrje ose treguesi sipas rastit,</w:t>
            </w:r>
            <w:r w:rsidRPr="003F7852">
              <w:rPr>
                <w:rFonts w:ascii="Times New Roman" w:eastAsia="Times New Roman" w:hAnsi="Times New Roman" w:cs="Times New Roman"/>
                <w:noProof/>
                <w:color w:val="000000"/>
                <w:sz w:val="24"/>
                <w:szCs w:val="24"/>
                <w:lang w:val="sq-AL" w:eastAsia="sq-AL"/>
              </w:rPr>
              <w:t xml:space="preserve"> duke përdorur të dhëna</w:t>
            </w:r>
            <w:r w:rsidR="00F27867">
              <w:rPr>
                <w:rFonts w:ascii="Times New Roman" w:eastAsia="Times New Roman" w:hAnsi="Times New Roman" w:cs="Times New Roman"/>
                <w:noProof/>
                <w:color w:val="000000"/>
                <w:sz w:val="24"/>
                <w:szCs w:val="24"/>
                <w:lang w:val="sq-AL" w:eastAsia="sq-AL"/>
              </w:rPr>
              <w:t>t</w:t>
            </w:r>
            <w:r w:rsidRPr="003F7852">
              <w:rPr>
                <w:rFonts w:ascii="Times New Roman" w:eastAsia="Times New Roman" w:hAnsi="Times New Roman" w:cs="Times New Roman"/>
                <w:noProof/>
                <w:color w:val="000000"/>
                <w:sz w:val="24"/>
                <w:szCs w:val="24"/>
                <w:lang w:val="sq-AL" w:eastAsia="sq-AL"/>
              </w:rPr>
              <w:t xml:space="preserve"> e periudhave </w:t>
            </w:r>
            <w:r w:rsidR="00F27867">
              <w:rPr>
                <w:rFonts w:ascii="Times New Roman" w:eastAsia="Times New Roman" w:hAnsi="Times New Roman" w:cs="Times New Roman"/>
                <w:noProof/>
                <w:color w:val="000000"/>
                <w:sz w:val="24"/>
                <w:szCs w:val="24"/>
                <w:lang w:val="sq-AL" w:eastAsia="sq-AL"/>
              </w:rPr>
              <w:t>të</w:t>
            </w:r>
            <w:r w:rsidRPr="003F7852">
              <w:rPr>
                <w:rFonts w:ascii="Times New Roman" w:eastAsia="Times New Roman" w:hAnsi="Times New Roman" w:cs="Times New Roman"/>
                <w:noProof/>
                <w:color w:val="000000"/>
                <w:sz w:val="24"/>
                <w:szCs w:val="24"/>
                <w:lang w:val="sq-AL" w:eastAsia="sq-AL"/>
              </w:rPr>
              <w:t xml:space="preserve"> mëparshme. Në disa raste, gjithashtu përdoren</w:t>
            </w:r>
            <w:r w:rsidR="00B31593" w:rsidRPr="003F7852">
              <w:rPr>
                <w:rFonts w:ascii="Times New Roman" w:eastAsia="Times New Roman" w:hAnsi="Times New Roman" w:cs="Times New Roman"/>
                <w:noProof/>
                <w:color w:val="000000"/>
                <w:sz w:val="24"/>
                <w:szCs w:val="24"/>
                <w:lang w:val="sq-AL" w:eastAsia="sq-AL"/>
              </w:rPr>
              <w:t xml:space="preserve"> teknika matematikore (imputim </w:t>
            </w:r>
            <w:r w:rsidR="00F27867">
              <w:rPr>
                <w:rFonts w:ascii="Times New Roman" w:eastAsia="Times New Roman" w:hAnsi="Times New Roman" w:cs="Times New Roman"/>
                <w:noProof/>
                <w:color w:val="000000"/>
                <w:sz w:val="24"/>
                <w:szCs w:val="24"/>
                <w:lang w:val="sq-AL" w:eastAsia="sq-AL"/>
              </w:rPr>
              <w:t>hot-</w:t>
            </w:r>
            <w:r w:rsidRPr="003F7852">
              <w:rPr>
                <w:rFonts w:ascii="Times New Roman" w:eastAsia="Times New Roman" w:hAnsi="Times New Roman" w:cs="Times New Roman"/>
                <w:noProof/>
                <w:color w:val="000000"/>
                <w:sz w:val="24"/>
                <w:szCs w:val="24"/>
                <w:lang w:val="sq-AL" w:eastAsia="sq-AL"/>
              </w:rPr>
              <w:t>deck). Kurdoherë që hotelet e mëdha nuk përgjigjen, informacioni që mungon nuk mund të mbulohet nga peshat; prandaj duhet të vendosim të gjithë informacionin e tij në setin e të dhënave. Dhe kjo bëhet përsëri përmes të dhënave të kaluara dhe teknikave statistikore.</w:t>
            </w:r>
          </w:p>
        </w:tc>
      </w:tr>
      <w:tr w:rsidR="00B15F7B" w:rsidRPr="003F7852" w14:paraId="17776744" w14:textId="77777777" w:rsidTr="00C50933">
        <w:trPr>
          <w:trHeight w:val="567"/>
        </w:trPr>
        <w:tc>
          <w:tcPr>
            <w:tcW w:w="2518" w:type="dxa"/>
            <w:shd w:val="clear" w:color="auto" w:fill="FFFFCC"/>
            <w:vAlign w:val="center"/>
            <w:hideMark/>
          </w:tcPr>
          <w:p w14:paraId="03047A1A" w14:textId="77777777" w:rsidR="00223F89" w:rsidRPr="003F7852" w:rsidRDefault="00223F89" w:rsidP="00430D9B">
            <w:pPr>
              <w:spacing w:after="0"/>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18.6. Rregullimi</w:t>
            </w:r>
          </w:p>
        </w:tc>
        <w:tc>
          <w:tcPr>
            <w:tcW w:w="8164" w:type="dxa"/>
            <w:shd w:val="clear" w:color="auto" w:fill="auto"/>
            <w:noWrap/>
            <w:vAlign w:val="center"/>
            <w:hideMark/>
          </w:tcPr>
          <w:p w14:paraId="5DCCDE42" w14:textId="77777777" w:rsidR="00223F89" w:rsidRPr="003F7852" w:rsidRDefault="00B31593" w:rsidP="00153622">
            <w:pPr>
              <w:spacing w:before="240"/>
              <w:jc w:val="both"/>
              <w:rPr>
                <w:rFonts w:ascii="Times New Roman" w:eastAsia="Times New Roman" w:hAnsi="Times New Roman" w:cs="Times New Roman"/>
                <w:noProof/>
                <w:color w:val="000000"/>
                <w:sz w:val="24"/>
                <w:szCs w:val="24"/>
                <w:lang w:val="sq-AL" w:eastAsia="sq-AL"/>
              </w:rPr>
            </w:pPr>
            <w:r w:rsidRPr="003F7852">
              <w:rPr>
                <w:rFonts w:ascii="Times New Roman" w:eastAsia="Times New Roman" w:hAnsi="Times New Roman" w:cs="Times New Roman"/>
                <w:noProof/>
                <w:color w:val="000000"/>
                <w:sz w:val="24"/>
                <w:szCs w:val="24"/>
                <w:lang w:val="sq-AL" w:eastAsia="sq-AL"/>
              </w:rPr>
              <w:t>Nuk aplikohet</w:t>
            </w:r>
            <w:r w:rsidR="00F27867">
              <w:rPr>
                <w:rFonts w:ascii="Times New Roman" w:eastAsia="Times New Roman" w:hAnsi="Times New Roman" w:cs="Times New Roman"/>
                <w:noProof/>
                <w:color w:val="000000"/>
                <w:sz w:val="24"/>
                <w:szCs w:val="24"/>
                <w:lang w:val="sq-AL" w:eastAsia="sq-AL"/>
              </w:rPr>
              <w:t>.</w:t>
            </w:r>
          </w:p>
        </w:tc>
      </w:tr>
      <w:tr w:rsidR="00C50933" w:rsidRPr="003F7852" w14:paraId="78E7DC71" w14:textId="77777777" w:rsidTr="00C50933">
        <w:trPr>
          <w:trHeight w:val="4091"/>
        </w:trPr>
        <w:tc>
          <w:tcPr>
            <w:tcW w:w="2518" w:type="dxa"/>
            <w:shd w:val="clear" w:color="auto" w:fill="FBD4B4" w:themeFill="accent6" w:themeFillTint="66"/>
            <w:vAlign w:val="center"/>
            <w:hideMark/>
          </w:tcPr>
          <w:p w14:paraId="5AC16BA6" w14:textId="77777777" w:rsidR="00C50933" w:rsidRPr="00F838CE" w:rsidRDefault="00C50933" w:rsidP="00430D9B">
            <w:pPr>
              <w:pStyle w:val="Heading1"/>
              <w:spacing w:before="0"/>
              <w:rPr>
                <w:rFonts w:ascii="Times New Roman" w:eastAsia="Times New Roman" w:hAnsi="Times New Roman" w:cs="Times New Roman"/>
                <w:bCs w:val="0"/>
                <w:noProof/>
                <w:color w:val="000000"/>
                <w:sz w:val="24"/>
                <w:szCs w:val="24"/>
                <w:lang w:val="sq-AL" w:eastAsia="sq-AL"/>
              </w:rPr>
            </w:pPr>
            <w:bookmarkStart w:id="19" w:name="_Toc69204592"/>
            <w:r w:rsidRPr="00AF0B2A">
              <w:rPr>
                <w:rFonts w:ascii="Times New Roman" w:eastAsia="Times New Roman" w:hAnsi="Times New Roman" w:cs="Times New Roman"/>
                <w:bCs w:val="0"/>
                <w:noProof/>
                <w:color w:val="000000"/>
                <w:sz w:val="24"/>
                <w:szCs w:val="24"/>
                <w:lang w:val="sq-AL" w:eastAsia="sq-AL"/>
              </w:rPr>
              <w:t xml:space="preserve">19. </w:t>
            </w:r>
            <w:r w:rsidRPr="00AF0B2A">
              <w:rPr>
                <w:rFonts w:ascii="Times New Roman" w:eastAsia="Times New Roman" w:hAnsi="Times New Roman" w:cs="Times New Roman"/>
                <w:noProof/>
                <w:color w:val="000000" w:themeColor="text1"/>
                <w:sz w:val="24"/>
                <w:szCs w:val="24"/>
                <w:lang w:val="sq-AL" w:eastAsia="sq-AL"/>
              </w:rPr>
              <w:t>Komente</w:t>
            </w:r>
            <w:bookmarkEnd w:id="19"/>
          </w:p>
        </w:tc>
        <w:tc>
          <w:tcPr>
            <w:tcW w:w="8164" w:type="dxa"/>
            <w:shd w:val="clear" w:color="auto" w:fill="auto"/>
            <w:noWrap/>
            <w:vAlign w:val="center"/>
          </w:tcPr>
          <w:p w14:paraId="3B65DC37" w14:textId="01800C38" w:rsidR="00C50933" w:rsidRPr="00BE0CC3" w:rsidRDefault="00C50933" w:rsidP="00D5060F">
            <w:pPr>
              <w:spacing w:before="240"/>
              <w:jc w:val="both"/>
              <w:rPr>
                <w:rFonts w:ascii="Times New Roman" w:eastAsia="Times New Roman" w:hAnsi="Times New Roman" w:cs="Times New Roman"/>
                <w:noProof/>
                <w:sz w:val="24"/>
                <w:szCs w:val="24"/>
                <w:lang w:val="sq-AL" w:eastAsia="sq-AL"/>
              </w:rPr>
            </w:pPr>
            <w:r w:rsidRPr="00BE0CC3">
              <w:rPr>
                <w:rFonts w:ascii="Times New Roman" w:eastAsia="Times New Roman" w:hAnsi="Times New Roman" w:cs="Times New Roman"/>
                <w:noProof/>
                <w:sz w:val="24"/>
                <w:szCs w:val="24"/>
                <w:lang w:val="sq-AL" w:eastAsia="sq-AL"/>
              </w:rPr>
              <w:t>Gjatë vitit 2020, Statistikat e Akomodimit të Turizmit janë ndikuar ndjeshëm nga situata e pandemis</w:t>
            </w:r>
            <w:r w:rsidR="006A29AF">
              <w:rPr>
                <w:rFonts w:ascii="Times New Roman" w:eastAsia="Times New Roman" w:hAnsi="Times New Roman" w:cs="Times New Roman"/>
                <w:noProof/>
                <w:sz w:val="24"/>
                <w:szCs w:val="24"/>
                <w:lang w:val="sq-AL" w:eastAsia="sq-AL"/>
              </w:rPr>
              <w:t>ë</w:t>
            </w:r>
            <w:r w:rsidRPr="00BE0CC3">
              <w:rPr>
                <w:rFonts w:ascii="Times New Roman" w:eastAsia="Times New Roman" w:hAnsi="Times New Roman" w:cs="Times New Roman"/>
                <w:noProof/>
                <w:sz w:val="24"/>
                <w:szCs w:val="24"/>
                <w:lang w:val="sq-AL" w:eastAsia="sq-AL"/>
              </w:rPr>
              <w:t xml:space="preserve"> globale shkaktuar nga COVID-19. Duke filluar nga 11 Mars 2020, u shpall </w:t>
            </w:r>
            <w:r w:rsidR="00BD3CFE">
              <w:rPr>
                <w:rFonts w:ascii="Times New Roman" w:eastAsia="Times New Roman" w:hAnsi="Times New Roman" w:cs="Times New Roman"/>
                <w:noProof/>
                <w:sz w:val="24"/>
                <w:szCs w:val="24"/>
                <w:lang w:val="sq-AL" w:eastAsia="sq-AL"/>
              </w:rPr>
              <w:t>gjendja</w:t>
            </w:r>
            <w:r w:rsidRPr="00BE0CC3">
              <w:rPr>
                <w:rFonts w:ascii="Times New Roman" w:eastAsia="Times New Roman" w:hAnsi="Times New Roman" w:cs="Times New Roman"/>
                <w:noProof/>
                <w:sz w:val="24"/>
                <w:szCs w:val="24"/>
                <w:lang w:val="sq-AL" w:eastAsia="sq-AL"/>
              </w:rPr>
              <w:t xml:space="preserve"> </w:t>
            </w:r>
            <w:r w:rsidR="00EA2336">
              <w:rPr>
                <w:rFonts w:ascii="Times New Roman" w:eastAsia="Times New Roman" w:hAnsi="Times New Roman" w:cs="Times New Roman"/>
                <w:noProof/>
                <w:sz w:val="24"/>
                <w:szCs w:val="24"/>
                <w:lang w:val="sq-AL" w:eastAsia="sq-AL"/>
              </w:rPr>
              <w:t>e</w:t>
            </w:r>
            <w:r w:rsidRPr="00BE0CC3">
              <w:rPr>
                <w:rFonts w:ascii="Times New Roman" w:eastAsia="Times New Roman" w:hAnsi="Times New Roman" w:cs="Times New Roman"/>
                <w:noProof/>
                <w:sz w:val="24"/>
                <w:szCs w:val="24"/>
                <w:lang w:val="sq-AL" w:eastAsia="sq-AL"/>
              </w:rPr>
              <w:t xml:space="preserve"> fatkeqësisë natyrore në të gjithë Republikën e Shqipërisë për shkak të epidemisë së shkaktuar nga COVID-19. Fillimi i pandemisë në Shqipëri solli kufizime në lëvizjen e shtetasve shqiptarë dhe të huaj brenda dhe jashtë territorit shqiptar. Prilli i vitit 2020 ishte muaji më i prekur, ku aktiviteti ekonomik i akomodimit u mbyll për shkak të respektimit të pro</w:t>
            </w:r>
            <w:r w:rsidR="00BD3CFE">
              <w:rPr>
                <w:rFonts w:ascii="Times New Roman" w:eastAsia="Times New Roman" w:hAnsi="Times New Roman" w:cs="Times New Roman"/>
                <w:noProof/>
                <w:sz w:val="24"/>
                <w:szCs w:val="24"/>
                <w:lang w:val="sq-AL" w:eastAsia="sq-AL"/>
              </w:rPr>
              <w:t>ç</w:t>
            </w:r>
            <w:r w:rsidRPr="00BE0CC3">
              <w:rPr>
                <w:rFonts w:ascii="Times New Roman" w:eastAsia="Times New Roman" w:hAnsi="Times New Roman" w:cs="Times New Roman"/>
                <w:noProof/>
                <w:sz w:val="24"/>
                <w:szCs w:val="24"/>
                <w:lang w:val="sq-AL" w:eastAsia="sq-AL"/>
              </w:rPr>
              <w:t>edurave të karantinës.</w:t>
            </w:r>
          </w:p>
          <w:p w14:paraId="494BB83D" w14:textId="44198461" w:rsidR="00C50933" w:rsidRPr="00C50933" w:rsidRDefault="00C50933" w:rsidP="00F67730">
            <w:pPr>
              <w:spacing w:before="240"/>
              <w:jc w:val="both"/>
              <w:rPr>
                <w:rFonts w:ascii="Times New Roman" w:eastAsia="Times New Roman" w:hAnsi="Times New Roman" w:cs="Times New Roman"/>
                <w:noProof/>
                <w:color w:val="000000"/>
                <w:sz w:val="24"/>
                <w:szCs w:val="24"/>
                <w:lang w:val="sq-AL" w:eastAsia="sq-AL"/>
              </w:rPr>
            </w:pPr>
            <w:r w:rsidRPr="00BE0CC3">
              <w:rPr>
                <w:rFonts w:ascii="Times New Roman" w:eastAsia="Times New Roman" w:hAnsi="Times New Roman" w:cs="Times New Roman"/>
                <w:noProof/>
                <w:sz w:val="24"/>
                <w:szCs w:val="24"/>
                <w:lang w:val="sq-AL" w:eastAsia="sq-AL"/>
              </w:rPr>
              <w:t xml:space="preserve">Gjithashtu kjo situatë ndikoi në </w:t>
            </w:r>
            <w:r w:rsidR="00F67730">
              <w:rPr>
                <w:rFonts w:ascii="Times New Roman" w:eastAsia="Times New Roman" w:hAnsi="Times New Roman" w:cs="Times New Roman"/>
                <w:noProof/>
                <w:sz w:val="24"/>
                <w:szCs w:val="24"/>
                <w:lang w:val="sq-AL" w:eastAsia="sq-AL"/>
              </w:rPr>
              <w:t>proçesin e mbledhjes së</w:t>
            </w:r>
            <w:r w:rsidRPr="00BE0CC3">
              <w:rPr>
                <w:rFonts w:ascii="Times New Roman" w:eastAsia="Times New Roman" w:hAnsi="Times New Roman" w:cs="Times New Roman"/>
                <w:noProof/>
                <w:sz w:val="24"/>
                <w:szCs w:val="24"/>
                <w:lang w:val="sq-AL" w:eastAsia="sq-AL"/>
              </w:rPr>
              <w:t xml:space="preserve"> të dhënave</w:t>
            </w:r>
            <w:r w:rsidR="00F67730">
              <w:rPr>
                <w:rFonts w:ascii="Times New Roman" w:eastAsia="Times New Roman" w:hAnsi="Times New Roman" w:cs="Times New Roman"/>
                <w:noProof/>
                <w:sz w:val="24"/>
                <w:szCs w:val="24"/>
                <w:lang w:val="sq-AL" w:eastAsia="sq-AL"/>
              </w:rPr>
              <w:t xml:space="preserve"> dhe</w:t>
            </w:r>
            <w:r w:rsidRPr="00BE0CC3">
              <w:rPr>
                <w:rFonts w:ascii="Times New Roman" w:eastAsia="Times New Roman" w:hAnsi="Times New Roman" w:cs="Times New Roman"/>
                <w:noProof/>
                <w:sz w:val="24"/>
                <w:szCs w:val="24"/>
                <w:lang w:val="sq-AL" w:eastAsia="sq-AL"/>
              </w:rPr>
              <w:t xml:space="preserve"> </w:t>
            </w:r>
            <w:r w:rsidR="00F67730" w:rsidRPr="00BE0CC3">
              <w:rPr>
                <w:rFonts w:ascii="Times New Roman" w:eastAsia="Times New Roman" w:hAnsi="Times New Roman" w:cs="Times New Roman"/>
                <w:noProof/>
                <w:sz w:val="24"/>
                <w:szCs w:val="24"/>
                <w:lang w:val="sq-AL" w:eastAsia="sq-AL"/>
              </w:rPr>
              <w:t>punës në terren</w:t>
            </w:r>
            <w:r w:rsidR="00F67730">
              <w:rPr>
                <w:rFonts w:ascii="Times New Roman" w:eastAsia="Times New Roman" w:hAnsi="Times New Roman" w:cs="Times New Roman"/>
                <w:noProof/>
                <w:sz w:val="24"/>
                <w:szCs w:val="24"/>
                <w:lang w:val="sq-AL" w:eastAsia="sq-AL"/>
              </w:rPr>
              <w:t xml:space="preserve"> </w:t>
            </w:r>
            <w:r w:rsidRPr="00BE0CC3">
              <w:rPr>
                <w:rFonts w:ascii="Times New Roman" w:eastAsia="Times New Roman" w:hAnsi="Times New Roman" w:cs="Times New Roman"/>
                <w:noProof/>
                <w:sz w:val="24"/>
                <w:szCs w:val="24"/>
                <w:lang w:val="sq-AL" w:eastAsia="sq-AL"/>
              </w:rPr>
              <w:t>gjatë Prillit dhe Majit të vitit 2020. Gjatë kësaj periudhe metoda e mbledhjes së të dhënave ndryshoi nga PAPI në intervista me telefon.</w:t>
            </w:r>
          </w:p>
        </w:tc>
      </w:tr>
      <w:tr w:rsidR="00C50933" w:rsidRPr="003F7852" w14:paraId="22812579" w14:textId="77777777" w:rsidTr="00C50933">
        <w:trPr>
          <w:trHeight w:val="567"/>
        </w:trPr>
        <w:tc>
          <w:tcPr>
            <w:tcW w:w="10682" w:type="dxa"/>
            <w:gridSpan w:val="2"/>
            <w:shd w:val="clear" w:color="auto" w:fill="FBD4B4" w:themeFill="accent6" w:themeFillTint="66"/>
            <w:vAlign w:val="center"/>
            <w:hideMark/>
          </w:tcPr>
          <w:p w14:paraId="7200C48C" w14:textId="77777777" w:rsidR="00C50933" w:rsidRPr="003F7852" w:rsidRDefault="00C50933" w:rsidP="00430D9B">
            <w:pPr>
              <w:pStyle w:val="Heading1"/>
              <w:spacing w:before="0"/>
              <w:rPr>
                <w:rFonts w:ascii="Times New Roman" w:eastAsia="Times New Roman" w:hAnsi="Times New Roman" w:cs="Times New Roman"/>
                <w:noProof/>
                <w:color w:val="000000"/>
                <w:sz w:val="24"/>
                <w:szCs w:val="24"/>
                <w:lang w:val="sq-AL" w:eastAsia="sq-AL"/>
              </w:rPr>
            </w:pPr>
            <w:bookmarkStart w:id="20" w:name="_Toc69204593"/>
            <w:r w:rsidRPr="003F7852">
              <w:rPr>
                <w:rFonts w:ascii="Times New Roman" w:eastAsia="Times New Roman" w:hAnsi="Times New Roman" w:cs="Times New Roman"/>
                <w:bCs w:val="0"/>
                <w:noProof/>
                <w:color w:val="000000"/>
                <w:sz w:val="24"/>
                <w:szCs w:val="24"/>
                <w:lang w:val="sq-AL" w:eastAsia="sq-AL"/>
              </w:rPr>
              <w:t>Aneks</w:t>
            </w:r>
            <w:bookmarkEnd w:id="20"/>
          </w:p>
        </w:tc>
      </w:tr>
      <w:tr w:rsidR="00C50933" w:rsidRPr="003F7852" w14:paraId="16BF3E4E" w14:textId="77777777" w:rsidTr="00C50933">
        <w:trPr>
          <w:trHeight w:val="567"/>
        </w:trPr>
        <w:tc>
          <w:tcPr>
            <w:tcW w:w="10682" w:type="dxa"/>
            <w:gridSpan w:val="2"/>
            <w:shd w:val="clear" w:color="auto" w:fill="auto"/>
            <w:vAlign w:val="center"/>
          </w:tcPr>
          <w:p w14:paraId="4F875B1D" w14:textId="77777777" w:rsidR="00C50933" w:rsidRPr="003F7852" w:rsidRDefault="00C50933" w:rsidP="00460A10">
            <w:pPr>
              <w:rPr>
                <w:lang w:val="sq-AL"/>
              </w:rPr>
            </w:pPr>
          </w:p>
        </w:tc>
      </w:tr>
    </w:tbl>
    <w:p w14:paraId="41C5F6D9" w14:textId="77777777" w:rsidR="007062AB" w:rsidRPr="003F7852" w:rsidRDefault="007062AB" w:rsidP="001A6FA0">
      <w:pPr>
        <w:spacing w:after="0"/>
        <w:rPr>
          <w:rFonts w:ascii="Times New Roman" w:hAnsi="Times New Roman" w:cs="Times New Roman"/>
          <w:noProof/>
          <w:lang w:val="sq-AL"/>
        </w:rPr>
      </w:pPr>
    </w:p>
    <w:sectPr w:rsidR="007062AB" w:rsidRPr="003F7852" w:rsidSect="00DB66EC">
      <w:footerReference w:type="default" r:id="rId30"/>
      <w:pgSz w:w="11906" w:h="16838"/>
      <w:pgMar w:top="1170" w:right="720" w:bottom="171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72066" w14:textId="77777777" w:rsidR="0093021A" w:rsidRDefault="0093021A" w:rsidP="00FA1304">
      <w:pPr>
        <w:spacing w:after="0" w:line="240" w:lineRule="auto"/>
      </w:pPr>
      <w:r>
        <w:separator/>
      </w:r>
    </w:p>
  </w:endnote>
  <w:endnote w:type="continuationSeparator" w:id="0">
    <w:p w14:paraId="351783EC" w14:textId="77777777" w:rsidR="0093021A" w:rsidRDefault="0093021A"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14:paraId="6C8AD17A" w14:textId="77777777" w:rsidR="000A5665" w:rsidRDefault="000A5665">
        <w:pPr>
          <w:pStyle w:val="Footer"/>
          <w:jc w:val="right"/>
        </w:pPr>
        <w:r>
          <w:fldChar w:fldCharType="begin"/>
        </w:r>
        <w:r>
          <w:instrText xml:space="preserve"> PAGE   \* MERGEFORMAT </w:instrText>
        </w:r>
        <w:r>
          <w:fldChar w:fldCharType="separate"/>
        </w:r>
        <w:r w:rsidR="00A2208F">
          <w:rPr>
            <w:noProof/>
          </w:rPr>
          <w:t>2</w:t>
        </w:r>
        <w:r>
          <w:rPr>
            <w:noProof/>
          </w:rPr>
          <w:fldChar w:fldCharType="end"/>
        </w:r>
      </w:p>
    </w:sdtContent>
  </w:sdt>
  <w:p w14:paraId="249322DE" w14:textId="77777777" w:rsidR="000A5665" w:rsidRDefault="000A5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5959F" w14:textId="77777777" w:rsidR="0093021A" w:rsidRDefault="0093021A" w:rsidP="00FA1304">
      <w:pPr>
        <w:spacing w:after="0" w:line="240" w:lineRule="auto"/>
      </w:pPr>
      <w:r>
        <w:separator/>
      </w:r>
    </w:p>
  </w:footnote>
  <w:footnote w:type="continuationSeparator" w:id="0">
    <w:p w14:paraId="3C290771" w14:textId="77777777" w:rsidR="0093021A" w:rsidRDefault="0093021A"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E2D"/>
    <w:multiLevelType w:val="hybridMultilevel"/>
    <w:tmpl w:val="E5DC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8791D"/>
    <w:multiLevelType w:val="hybridMultilevel"/>
    <w:tmpl w:val="35709BBC"/>
    <w:lvl w:ilvl="0" w:tplc="041C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D5DC6"/>
    <w:multiLevelType w:val="hybridMultilevel"/>
    <w:tmpl w:val="8B0850E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
    <w:nsid w:val="0F030B8E"/>
    <w:multiLevelType w:val="hybridMultilevel"/>
    <w:tmpl w:val="DFA0C0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03022FE"/>
    <w:multiLevelType w:val="hybridMultilevel"/>
    <w:tmpl w:val="3E2A1E20"/>
    <w:lvl w:ilvl="0" w:tplc="DDA6E0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C0DEB"/>
    <w:multiLevelType w:val="hybridMultilevel"/>
    <w:tmpl w:val="6764BD28"/>
    <w:lvl w:ilvl="0" w:tplc="DDA6E0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AB1645"/>
    <w:multiLevelType w:val="hybridMultilevel"/>
    <w:tmpl w:val="16ECD9EA"/>
    <w:lvl w:ilvl="0" w:tplc="DDA6E0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1">
    <w:nsid w:val="1C1E5905"/>
    <w:multiLevelType w:val="hybridMultilevel"/>
    <w:tmpl w:val="9BE89244"/>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8876B05"/>
    <w:multiLevelType w:val="hybridMultilevel"/>
    <w:tmpl w:val="8FFE68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2BD65937"/>
    <w:multiLevelType w:val="multilevel"/>
    <w:tmpl w:val="BE7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3241FC"/>
    <w:multiLevelType w:val="hybridMultilevel"/>
    <w:tmpl w:val="5FD4D6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334E64B4"/>
    <w:multiLevelType w:val="hybridMultilevel"/>
    <w:tmpl w:val="DE02AE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9C43E0"/>
    <w:multiLevelType w:val="hybridMultilevel"/>
    <w:tmpl w:val="01DC9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072982"/>
    <w:multiLevelType w:val="hybridMultilevel"/>
    <w:tmpl w:val="4DB46A7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48367A93"/>
    <w:multiLevelType w:val="hybridMultilevel"/>
    <w:tmpl w:val="40AA1CA8"/>
    <w:lvl w:ilvl="0" w:tplc="DDA6E0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916E1"/>
    <w:multiLevelType w:val="hybridMultilevel"/>
    <w:tmpl w:val="CF3E006A"/>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2">
    <w:nsid w:val="49005722"/>
    <w:multiLevelType w:val="hybridMultilevel"/>
    <w:tmpl w:val="1076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462BB1"/>
    <w:multiLevelType w:val="hybridMultilevel"/>
    <w:tmpl w:val="22D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5F192A"/>
    <w:multiLevelType w:val="hybridMultilevel"/>
    <w:tmpl w:val="22DCB5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35DFD"/>
    <w:multiLevelType w:val="hybridMultilevel"/>
    <w:tmpl w:val="EA9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153D5"/>
    <w:multiLevelType w:val="hybridMultilevel"/>
    <w:tmpl w:val="CE68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63CB328E"/>
    <w:multiLevelType w:val="hybridMultilevel"/>
    <w:tmpl w:val="8282346C"/>
    <w:lvl w:ilvl="0" w:tplc="DDA6E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4D0662"/>
    <w:multiLevelType w:val="hybridMultilevel"/>
    <w:tmpl w:val="15C8E0A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2">
    <w:nsid w:val="68A84E4A"/>
    <w:multiLevelType w:val="hybridMultilevel"/>
    <w:tmpl w:val="E0DCF970"/>
    <w:lvl w:ilvl="0" w:tplc="DD5A6FA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3">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657632"/>
    <w:multiLevelType w:val="hybridMultilevel"/>
    <w:tmpl w:val="65106F0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50C34"/>
    <w:multiLevelType w:val="hybridMultilevel"/>
    <w:tmpl w:val="C48497D2"/>
    <w:lvl w:ilvl="0" w:tplc="DDA6E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A5E6D"/>
    <w:multiLevelType w:val="singleLevel"/>
    <w:tmpl w:val="EDF8DF14"/>
    <w:lvl w:ilvl="0">
      <w:start w:val="1"/>
      <w:numFmt w:val="bullet"/>
      <w:lvlText w:val=""/>
      <w:lvlJc w:val="left"/>
      <w:pPr>
        <w:tabs>
          <w:tab w:val="num" w:pos="360"/>
        </w:tabs>
        <w:ind w:left="360" w:hanging="360"/>
      </w:pPr>
      <w:rPr>
        <w:rFonts w:ascii="Symbol" w:hAnsi="Symbol" w:hint="default"/>
      </w:rPr>
    </w:lvl>
  </w:abstractNum>
  <w:abstractNum w:abstractNumId="38">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F40484"/>
    <w:multiLevelType w:val="hybridMultilevel"/>
    <w:tmpl w:val="BE7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21632D"/>
    <w:multiLevelType w:val="hybridMultilevel"/>
    <w:tmpl w:val="23886000"/>
    <w:lvl w:ilvl="0" w:tplc="DDA6E0F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1">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E46EC"/>
    <w:multiLevelType w:val="hybridMultilevel"/>
    <w:tmpl w:val="20F4ADDC"/>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6"/>
  </w:num>
  <w:num w:numId="3">
    <w:abstractNumId w:val="33"/>
  </w:num>
  <w:num w:numId="4">
    <w:abstractNumId w:val="15"/>
  </w:num>
  <w:num w:numId="5">
    <w:abstractNumId w:val="5"/>
  </w:num>
  <w:num w:numId="6">
    <w:abstractNumId w:val="12"/>
  </w:num>
  <w:num w:numId="7">
    <w:abstractNumId w:val="18"/>
  </w:num>
  <w:num w:numId="8">
    <w:abstractNumId w:val="26"/>
  </w:num>
  <w:num w:numId="9">
    <w:abstractNumId w:val="36"/>
  </w:num>
  <w:num w:numId="10">
    <w:abstractNumId w:val="2"/>
  </w:num>
  <w:num w:numId="11">
    <w:abstractNumId w:val="3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25"/>
  </w:num>
  <w:num w:numId="16">
    <w:abstractNumId w:val="24"/>
  </w:num>
  <w:num w:numId="17">
    <w:abstractNumId w:val="23"/>
  </w:num>
  <w:num w:numId="18">
    <w:abstractNumId w:val="4"/>
  </w:num>
  <w:num w:numId="19">
    <w:abstractNumId w:val="42"/>
  </w:num>
  <w:num w:numId="20">
    <w:abstractNumId w:val="41"/>
  </w:num>
  <w:num w:numId="21">
    <w:abstractNumId w:val="8"/>
  </w:num>
  <w:num w:numId="22">
    <w:abstractNumId w:val="19"/>
  </w:num>
  <w:num w:numId="23">
    <w:abstractNumId w:val="11"/>
  </w:num>
  <w:num w:numId="24">
    <w:abstractNumId w:val="1"/>
  </w:num>
  <w:num w:numId="25">
    <w:abstractNumId w:val="31"/>
  </w:num>
  <w:num w:numId="26">
    <w:abstractNumId w:val="21"/>
  </w:num>
  <w:num w:numId="27">
    <w:abstractNumId w:val="3"/>
  </w:num>
  <w:num w:numId="28">
    <w:abstractNumId w:val="43"/>
  </w:num>
  <w:num w:numId="29">
    <w:abstractNumId w:val="13"/>
  </w:num>
  <w:num w:numId="30">
    <w:abstractNumId w:val="34"/>
  </w:num>
  <w:num w:numId="31">
    <w:abstractNumId w:val="32"/>
  </w:num>
  <w:num w:numId="32">
    <w:abstractNumId w:val="28"/>
  </w:num>
  <w:num w:numId="33">
    <w:abstractNumId w:val="0"/>
  </w:num>
  <w:num w:numId="34">
    <w:abstractNumId w:val="39"/>
  </w:num>
  <w:num w:numId="35">
    <w:abstractNumId w:val="37"/>
  </w:num>
  <w:num w:numId="36">
    <w:abstractNumId w:val="22"/>
  </w:num>
  <w:num w:numId="37">
    <w:abstractNumId w:val="14"/>
  </w:num>
  <w:num w:numId="38">
    <w:abstractNumId w:val="40"/>
  </w:num>
  <w:num w:numId="39">
    <w:abstractNumId w:val="6"/>
  </w:num>
  <w:num w:numId="40">
    <w:abstractNumId w:val="9"/>
  </w:num>
  <w:num w:numId="41">
    <w:abstractNumId w:val="7"/>
  </w:num>
  <w:num w:numId="42">
    <w:abstractNumId w:val="20"/>
  </w:num>
  <w:num w:numId="43">
    <w:abstractNumId w:val="17"/>
  </w:num>
  <w:num w:numId="44">
    <w:abstractNumId w:val="3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11189"/>
    <w:rsid w:val="000121F1"/>
    <w:rsid w:val="00013A07"/>
    <w:rsid w:val="00017DA0"/>
    <w:rsid w:val="00021F57"/>
    <w:rsid w:val="00024A4A"/>
    <w:rsid w:val="0002521D"/>
    <w:rsid w:val="0003026A"/>
    <w:rsid w:val="0003469E"/>
    <w:rsid w:val="0003619E"/>
    <w:rsid w:val="00036DF6"/>
    <w:rsid w:val="00042279"/>
    <w:rsid w:val="000424F0"/>
    <w:rsid w:val="00065373"/>
    <w:rsid w:val="0006539A"/>
    <w:rsid w:val="00065B68"/>
    <w:rsid w:val="00066D29"/>
    <w:rsid w:val="000675A9"/>
    <w:rsid w:val="00070E72"/>
    <w:rsid w:val="00075904"/>
    <w:rsid w:val="0007795F"/>
    <w:rsid w:val="000801D3"/>
    <w:rsid w:val="00097D08"/>
    <w:rsid w:val="00097E6A"/>
    <w:rsid w:val="000A5665"/>
    <w:rsid w:val="000B0109"/>
    <w:rsid w:val="000C1175"/>
    <w:rsid w:val="000C43FD"/>
    <w:rsid w:val="000C62D2"/>
    <w:rsid w:val="000C6694"/>
    <w:rsid w:val="000C7C72"/>
    <w:rsid w:val="000E3968"/>
    <w:rsid w:val="000F1E09"/>
    <w:rsid w:val="000F21F5"/>
    <w:rsid w:val="000F5AA2"/>
    <w:rsid w:val="000F63BA"/>
    <w:rsid w:val="0012163F"/>
    <w:rsid w:val="001272B3"/>
    <w:rsid w:val="00135AE5"/>
    <w:rsid w:val="001415EF"/>
    <w:rsid w:val="0014535F"/>
    <w:rsid w:val="00153622"/>
    <w:rsid w:val="0015382A"/>
    <w:rsid w:val="001564C0"/>
    <w:rsid w:val="00163BA0"/>
    <w:rsid w:val="00181854"/>
    <w:rsid w:val="00190F01"/>
    <w:rsid w:val="00194C4E"/>
    <w:rsid w:val="001968BC"/>
    <w:rsid w:val="001A6FA0"/>
    <w:rsid w:val="001B3D68"/>
    <w:rsid w:val="001C22BD"/>
    <w:rsid w:val="001D5CDA"/>
    <w:rsid w:val="001E45BD"/>
    <w:rsid w:val="002032D3"/>
    <w:rsid w:val="002149D3"/>
    <w:rsid w:val="00214A13"/>
    <w:rsid w:val="00214DB6"/>
    <w:rsid w:val="00222AB0"/>
    <w:rsid w:val="00223F89"/>
    <w:rsid w:val="00225BEA"/>
    <w:rsid w:val="00230633"/>
    <w:rsid w:val="00237968"/>
    <w:rsid w:val="002440BD"/>
    <w:rsid w:val="00247A56"/>
    <w:rsid w:val="00252804"/>
    <w:rsid w:val="00271414"/>
    <w:rsid w:val="0027485C"/>
    <w:rsid w:val="0028142A"/>
    <w:rsid w:val="00284F19"/>
    <w:rsid w:val="002869FA"/>
    <w:rsid w:val="00293056"/>
    <w:rsid w:val="002947B8"/>
    <w:rsid w:val="00294ED9"/>
    <w:rsid w:val="002A3BD8"/>
    <w:rsid w:val="002A62B6"/>
    <w:rsid w:val="002B113C"/>
    <w:rsid w:val="002B3446"/>
    <w:rsid w:val="002B5136"/>
    <w:rsid w:val="002C52D0"/>
    <w:rsid w:val="002D08ED"/>
    <w:rsid w:val="002D5353"/>
    <w:rsid w:val="002E09E1"/>
    <w:rsid w:val="002E2676"/>
    <w:rsid w:val="002F3481"/>
    <w:rsid w:val="003070CF"/>
    <w:rsid w:val="0031724C"/>
    <w:rsid w:val="00326A81"/>
    <w:rsid w:val="00336576"/>
    <w:rsid w:val="00343A0D"/>
    <w:rsid w:val="00346397"/>
    <w:rsid w:val="003565CE"/>
    <w:rsid w:val="00356E01"/>
    <w:rsid w:val="003652FD"/>
    <w:rsid w:val="00377F9C"/>
    <w:rsid w:val="00384D79"/>
    <w:rsid w:val="00385E02"/>
    <w:rsid w:val="00386C49"/>
    <w:rsid w:val="00391E47"/>
    <w:rsid w:val="003A15FE"/>
    <w:rsid w:val="003A26F6"/>
    <w:rsid w:val="003A3944"/>
    <w:rsid w:val="003A7D81"/>
    <w:rsid w:val="003B134C"/>
    <w:rsid w:val="003B3458"/>
    <w:rsid w:val="003B7311"/>
    <w:rsid w:val="003B7D3E"/>
    <w:rsid w:val="003C06EA"/>
    <w:rsid w:val="003C47EF"/>
    <w:rsid w:val="003D1AB8"/>
    <w:rsid w:val="003D32CC"/>
    <w:rsid w:val="003D5AB8"/>
    <w:rsid w:val="003D5F98"/>
    <w:rsid w:val="003E07DF"/>
    <w:rsid w:val="003E07E9"/>
    <w:rsid w:val="003F2797"/>
    <w:rsid w:val="003F3569"/>
    <w:rsid w:val="003F3973"/>
    <w:rsid w:val="003F7852"/>
    <w:rsid w:val="00401654"/>
    <w:rsid w:val="0040187D"/>
    <w:rsid w:val="00407D93"/>
    <w:rsid w:val="0041437D"/>
    <w:rsid w:val="00421CEC"/>
    <w:rsid w:val="004229B6"/>
    <w:rsid w:val="00426715"/>
    <w:rsid w:val="00430D9B"/>
    <w:rsid w:val="00433CC7"/>
    <w:rsid w:val="004446B2"/>
    <w:rsid w:val="0045373F"/>
    <w:rsid w:val="00457D5E"/>
    <w:rsid w:val="00460A10"/>
    <w:rsid w:val="00460CC1"/>
    <w:rsid w:val="00474588"/>
    <w:rsid w:val="00477D1D"/>
    <w:rsid w:val="0048078D"/>
    <w:rsid w:val="0049193A"/>
    <w:rsid w:val="00494CE5"/>
    <w:rsid w:val="00494E28"/>
    <w:rsid w:val="00495EAE"/>
    <w:rsid w:val="004A759E"/>
    <w:rsid w:val="004C0933"/>
    <w:rsid w:val="004C4105"/>
    <w:rsid w:val="004C69D8"/>
    <w:rsid w:val="004D142D"/>
    <w:rsid w:val="004D78A9"/>
    <w:rsid w:val="004F5A78"/>
    <w:rsid w:val="004F68A1"/>
    <w:rsid w:val="005046A3"/>
    <w:rsid w:val="0051472B"/>
    <w:rsid w:val="00520D48"/>
    <w:rsid w:val="005217C1"/>
    <w:rsid w:val="005336D0"/>
    <w:rsid w:val="00547988"/>
    <w:rsid w:val="0055408D"/>
    <w:rsid w:val="00555151"/>
    <w:rsid w:val="00556681"/>
    <w:rsid w:val="00557107"/>
    <w:rsid w:val="00586455"/>
    <w:rsid w:val="00591509"/>
    <w:rsid w:val="0059335D"/>
    <w:rsid w:val="00596736"/>
    <w:rsid w:val="005A3CA6"/>
    <w:rsid w:val="005B7EF1"/>
    <w:rsid w:val="005C5F05"/>
    <w:rsid w:val="005D083D"/>
    <w:rsid w:val="005E049C"/>
    <w:rsid w:val="005E2A89"/>
    <w:rsid w:val="005E4644"/>
    <w:rsid w:val="006001A2"/>
    <w:rsid w:val="00601E51"/>
    <w:rsid w:val="00606EFC"/>
    <w:rsid w:val="006073EB"/>
    <w:rsid w:val="00610A58"/>
    <w:rsid w:val="00617106"/>
    <w:rsid w:val="0063060E"/>
    <w:rsid w:val="00635F31"/>
    <w:rsid w:val="006419F1"/>
    <w:rsid w:val="006458B8"/>
    <w:rsid w:val="006478B1"/>
    <w:rsid w:val="006515D8"/>
    <w:rsid w:val="0066332F"/>
    <w:rsid w:val="00670427"/>
    <w:rsid w:val="00673015"/>
    <w:rsid w:val="006909E0"/>
    <w:rsid w:val="006912E1"/>
    <w:rsid w:val="00694B94"/>
    <w:rsid w:val="006A29AF"/>
    <w:rsid w:val="006A4ED9"/>
    <w:rsid w:val="006D67DF"/>
    <w:rsid w:val="006E67C0"/>
    <w:rsid w:val="006E6CE8"/>
    <w:rsid w:val="007062AB"/>
    <w:rsid w:val="0072300F"/>
    <w:rsid w:val="00725F8A"/>
    <w:rsid w:val="0072637A"/>
    <w:rsid w:val="0072790D"/>
    <w:rsid w:val="00735EC3"/>
    <w:rsid w:val="007555E9"/>
    <w:rsid w:val="00761472"/>
    <w:rsid w:val="00780B6F"/>
    <w:rsid w:val="0079602F"/>
    <w:rsid w:val="00796650"/>
    <w:rsid w:val="007975DC"/>
    <w:rsid w:val="007B1894"/>
    <w:rsid w:val="007B3C66"/>
    <w:rsid w:val="007B7E9C"/>
    <w:rsid w:val="007D72C7"/>
    <w:rsid w:val="007E5239"/>
    <w:rsid w:val="007E5EB4"/>
    <w:rsid w:val="007F2024"/>
    <w:rsid w:val="00813FA3"/>
    <w:rsid w:val="00820B3F"/>
    <w:rsid w:val="00821042"/>
    <w:rsid w:val="0082329B"/>
    <w:rsid w:val="00833277"/>
    <w:rsid w:val="00840ED6"/>
    <w:rsid w:val="00843208"/>
    <w:rsid w:val="008444D0"/>
    <w:rsid w:val="00851C1F"/>
    <w:rsid w:val="00863C61"/>
    <w:rsid w:val="008857EA"/>
    <w:rsid w:val="00886A87"/>
    <w:rsid w:val="0089368C"/>
    <w:rsid w:val="008971C1"/>
    <w:rsid w:val="008A4F2D"/>
    <w:rsid w:val="008A736D"/>
    <w:rsid w:val="008B1665"/>
    <w:rsid w:val="008B761A"/>
    <w:rsid w:val="008C21E2"/>
    <w:rsid w:val="008C2688"/>
    <w:rsid w:val="008C3892"/>
    <w:rsid w:val="008E3F5D"/>
    <w:rsid w:val="0090719F"/>
    <w:rsid w:val="0093021A"/>
    <w:rsid w:val="00932F91"/>
    <w:rsid w:val="009371D5"/>
    <w:rsid w:val="0093733B"/>
    <w:rsid w:val="00940C09"/>
    <w:rsid w:val="00945E65"/>
    <w:rsid w:val="00965B99"/>
    <w:rsid w:val="0097344E"/>
    <w:rsid w:val="00984BE2"/>
    <w:rsid w:val="00987075"/>
    <w:rsid w:val="009876D4"/>
    <w:rsid w:val="009A7035"/>
    <w:rsid w:val="009B3267"/>
    <w:rsid w:val="009B6299"/>
    <w:rsid w:val="009C2BA0"/>
    <w:rsid w:val="009C647C"/>
    <w:rsid w:val="009C72A3"/>
    <w:rsid w:val="009C7EC0"/>
    <w:rsid w:val="009D1A9B"/>
    <w:rsid w:val="009F6156"/>
    <w:rsid w:val="009F664F"/>
    <w:rsid w:val="009F7026"/>
    <w:rsid w:val="00A0085D"/>
    <w:rsid w:val="00A01647"/>
    <w:rsid w:val="00A1130E"/>
    <w:rsid w:val="00A177A7"/>
    <w:rsid w:val="00A2208F"/>
    <w:rsid w:val="00A237DD"/>
    <w:rsid w:val="00A36F1C"/>
    <w:rsid w:val="00A43688"/>
    <w:rsid w:val="00A4795F"/>
    <w:rsid w:val="00A53974"/>
    <w:rsid w:val="00A5709F"/>
    <w:rsid w:val="00A57178"/>
    <w:rsid w:val="00A671B0"/>
    <w:rsid w:val="00A75684"/>
    <w:rsid w:val="00A9027A"/>
    <w:rsid w:val="00A9279C"/>
    <w:rsid w:val="00AA115F"/>
    <w:rsid w:val="00AA35F2"/>
    <w:rsid w:val="00AA6706"/>
    <w:rsid w:val="00AB790E"/>
    <w:rsid w:val="00AC321B"/>
    <w:rsid w:val="00AC4165"/>
    <w:rsid w:val="00AC78F6"/>
    <w:rsid w:val="00AD32DB"/>
    <w:rsid w:val="00AD509B"/>
    <w:rsid w:val="00AD6127"/>
    <w:rsid w:val="00AE693C"/>
    <w:rsid w:val="00AF0B2A"/>
    <w:rsid w:val="00AF3390"/>
    <w:rsid w:val="00B049AE"/>
    <w:rsid w:val="00B10DB8"/>
    <w:rsid w:val="00B122E5"/>
    <w:rsid w:val="00B15F7B"/>
    <w:rsid w:val="00B20B91"/>
    <w:rsid w:val="00B2139D"/>
    <w:rsid w:val="00B2442F"/>
    <w:rsid w:val="00B25D08"/>
    <w:rsid w:val="00B30A77"/>
    <w:rsid w:val="00B31593"/>
    <w:rsid w:val="00B37300"/>
    <w:rsid w:val="00B40241"/>
    <w:rsid w:val="00B40363"/>
    <w:rsid w:val="00B4102E"/>
    <w:rsid w:val="00B416EC"/>
    <w:rsid w:val="00B42FF2"/>
    <w:rsid w:val="00B517F1"/>
    <w:rsid w:val="00B5744A"/>
    <w:rsid w:val="00B61719"/>
    <w:rsid w:val="00B61F58"/>
    <w:rsid w:val="00B658E8"/>
    <w:rsid w:val="00B83FDC"/>
    <w:rsid w:val="00BA5016"/>
    <w:rsid w:val="00BB0370"/>
    <w:rsid w:val="00BC699C"/>
    <w:rsid w:val="00BD15FF"/>
    <w:rsid w:val="00BD2BD7"/>
    <w:rsid w:val="00BD3CFE"/>
    <w:rsid w:val="00BD66CA"/>
    <w:rsid w:val="00BD7753"/>
    <w:rsid w:val="00BE0CC3"/>
    <w:rsid w:val="00BE20D9"/>
    <w:rsid w:val="00BE3D7F"/>
    <w:rsid w:val="00BE54CA"/>
    <w:rsid w:val="00BE5516"/>
    <w:rsid w:val="00C02671"/>
    <w:rsid w:val="00C02F61"/>
    <w:rsid w:val="00C05219"/>
    <w:rsid w:val="00C4250F"/>
    <w:rsid w:val="00C45E72"/>
    <w:rsid w:val="00C479EC"/>
    <w:rsid w:val="00C50933"/>
    <w:rsid w:val="00C521B7"/>
    <w:rsid w:val="00C54A25"/>
    <w:rsid w:val="00C72879"/>
    <w:rsid w:val="00C75C22"/>
    <w:rsid w:val="00C81F90"/>
    <w:rsid w:val="00C84718"/>
    <w:rsid w:val="00CA5DD7"/>
    <w:rsid w:val="00CA7C7B"/>
    <w:rsid w:val="00CB002D"/>
    <w:rsid w:val="00CB45E2"/>
    <w:rsid w:val="00CC444C"/>
    <w:rsid w:val="00CC5785"/>
    <w:rsid w:val="00CD3C4C"/>
    <w:rsid w:val="00CD6D1C"/>
    <w:rsid w:val="00CF0594"/>
    <w:rsid w:val="00D0226F"/>
    <w:rsid w:val="00D03362"/>
    <w:rsid w:val="00D270E0"/>
    <w:rsid w:val="00D35045"/>
    <w:rsid w:val="00D37E21"/>
    <w:rsid w:val="00D5060F"/>
    <w:rsid w:val="00D6009D"/>
    <w:rsid w:val="00D6049F"/>
    <w:rsid w:val="00D836CB"/>
    <w:rsid w:val="00D86363"/>
    <w:rsid w:val="00D94A3E"/>
    <w:rsid w:val="00DA0AB7"/>
    <w:rsid w:val="00DB66EC"/>
    <w:rsid w:val="00DD6F2A"/>
    <w:rsid w:val="00DE1349"/>
    <w:rsid w:val="00E01B08"/>
    <w:rsid w:val="00E0342D"/>
    <w:rsid w:val="00E2330F"/>
    <w:rsid w:val="00E3168F"/>
    <w:rsid w:val="00E31FED"/>
    <w:rsid w:val="00E339C6"/>
    <w:rsid w:val="00E346D3"/>
    <w:rsid w:val="00E43898"/>
    <w:rsid w:val="00E54066"/>
    <w:rsid w:val="00E7137D"/>
    <w:rsid w:val="00E74626"/>
    <w:rsid w:val="00E77144"/>
    <w:rsid w:val="00E800DB"/>
    <w:rsid w:val="00E84009"/>
    <w:rsid w:val="00E84212"/>
    <w:rsid w:val="00E84F62"/>
    <w:rsid w:val="00EA1653"/>
    <w:rsid w:val="00EA2336"/>
    <w:rsid w:val="00EA2D32"/>
    <w:rsid w:val="00EA3F03"/>
    <w:rsid w:val="00EA5F3D"/>
    <w:rsid w:val="00EB5303"/>
    <w:rsid w:val="00EB6363"/>
    <w:rsid w:val="00EB687F"/>
    <w:rsid w:val="00EE46D0"/>
    <w:rsid w:val="00F024AB"/>
    <w:rsid w:val="00F06554"/>
    <w:rsid w:val="00F10AC5"/>
    <w:rsid w:val="00F13A15"/>
    <w:rsid w:val="00F16858"/>
    <w:rsid w:val="00F24660"/>
    <w:rsid w:val="00F25C78"/>
    <w:rsid w:val="00F27867"/>
    <w:rsid w:val="00F32733"/>
    <w:rsid w:val="00F361AB"/>
    <w:rsid w:val="00F3726A"/>
    <w:rsid w:val="00F40025"/>
    <w:rsid w:val="00F41452"/>
    <w:rsid w:val="00F4605B"/>
    <w:rsid w:val="00F46700"/>
    <w:rsid w:val="00F475CD"/>
    <w:rsid w:val="00F50383"/>
    <w:rsid w:val="00F54024"/>
    <w:rsid w:val="00F57FD9"/>
    <w:rsid w:val="00F61504"/>
    <w:rsid w:val="00F6369E"/>
    <w:rsid w:val="00F66EE5"/>
    <w:rsid w:val="00F67730"/>
    <w:rsid w:val="00F80D5E"/>
    <w:rsid w:val="00F83454"/>
    <w:rsid w:val="00F838CE"/>
    <w:rsid w:val="00F908D5"/>
    <w:rsid w:val="00F97440"/>
    <w:rsid w:val="00FA1304"/>
    <w:rsid w:val="00FB1E98"/>
    <w:rsid w:val="00FB3602"/>
    <w:rsid w:val="00FB56F1"/>
    <w:rsid w:val="00FB6462"/>
    <w:rsid w:val="00FC6098"/>
    <w:rsid w:val="00FD34CF"/>
    <w:rsid w:val="00FD4B99"/>
    <w:rsid w:val="00FE4E0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styleId="Emphasis">
    <w:name w:val="Emphasis"/>
    <w:basedOn w:val="DefaultParagraphFont"/>
    <w:uiPriority w:val="20"/>
    <w:qFormat/>
    <w:rsid w:val="003C47EF"/>
    <w:rPr>
      <w:i/>
      <w:iCs/>
    </w:rPr>
  </w:style>
  <w:style w:type="paragraph" w:styleId="NormalWeb">
    <w:name w:val="Normal (Web)"/>
    <w:basedOn w:val="Normal"/>
    <w:uiPriority w:val="99"/>
    <w:unhideWhenUsed/>
    <w:rsid w:val="003C47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styleId="Emphasis">
    <w:name w:val="Emphasis"/>
    <w:basedOn w:val="DefaultParagraphFont"/>
    <w:uiPriority w:val="20"/>
    <w:qFormat/>
    <w:rsid w:val="003C47EF"/>
    <w:rPr>
      <w:i/>
      <w:iCs/>
    </w:rPr>
  </w:style>
  <w:style w:type="paragraph" w:styleId="NormalWeb">
    <w:name w:val="Normal (Web)"/>
    <w:basedOn w:val="Normal"/>
    <w:uiPriority w:val="99"/>
    <w:unhideWhenUsed/>
    <w:rsid w:val="003C47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495">
      <w:bodyDiv w:val="1"/>
      <w:marLeft w:val="0"/>
      <w:marRight w:val="0"/>
      <w:marTop w:val="0"/>
      <w:marBottom w:val="0"/>
      <w:divBdr>
        <w:top w:val="none" w:sz="0" w:space="0" w:color="auto"/>
        <w:left w:val="none" w:sz="0" w:space="0" w:color="auto"/>
        <w:bottom w:val="none" w:sz="0" w:space="0" w:color="auto"/>
        <w:right w:val="none" w:sz="0" w:space="0" w:color="auto"/>
      </w:divBdr>
    </w:div>
    <w:div w:id="39864255">
      <w:bodyDiv w:val="1"/>
      <w:marLeft w:val="0"/>
      <w:marRight w:val="0"/>
      <w:marTop w:val="0"/>
      <w:marBottom w:val="0"/>
      <w:divBdr>
        <w:top w:val="none" w:sz="0" w:space="0" w:color="auto"/>
        <w:left w:val="none" w:sz="0" w:space="0" w:color="auto"/>
        <w:bottom w:val="none" w:sz="0" w:space="0" w:color="auto"/>
        <w:right w:val="none" w:sz="0" w:space="0" w:color="auto"/>
      </w:divBdr>
    </w:div>
    <w:div w:id="170607794">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409697345">
      <w:bodyDiv w:val="1"/>
      <w:marLeft w:val="0"/>
      <w:marRight w:val="0"/>
      <w:marTop w:val="0"/>
      <w:marBottom w:val="0"/>
      <w:divBdr>
        <w:top w:val="none" w:sz="0" w:space="0" w:color="auto"/>
        <w:left w:val="none" w:sz="0" w:space="0" w:color="auto"/>
        <w:bottom w:val="none" w:sz="0" w:space="0" w:color="auto"/>
        <w:right w:val="none" w:sz="0" w:space="0" w:color="auto"/>
      </w:divBdr>
    </w:div>
    <w:div w:id="506676267">
      <w:bodyDiv w:val="1"/>
      <w:marLeft w:val="0"/>
      <w:marRight w:val="0"/>
      <w:marTop w:val="0"/>
      <w:marBottom w:val="0"/>
      <w:divBdr>
        <w:top w:val="none" w:sz="0" w:space="0" w:color="auto"/>
        <w:left w:val="none" w:sz="0" w:space="0" w:color="auto"/>
        <w:bottom w:val="none" w:sz="0" w:space="0" w:color="auto"/>
        <w:right w:val="none" w:sz="0" w:space="0" w:color="auto"/>
      </w:divBdr>
    </w:div>
    <w:div w:id="677582201">
      <w:bodyDiv w:val="1"/>
      <w:marLeft w:val="0"/>
      <w:marRight w:val="0"/>
      <w:marTop w:val="0"/>
      <w:marBottom w:val="0"/>
      <w:divBdr>
        <w:top w:val="none" w:sz="0" w:space="0" w:color="auto"/>
        <w:left w:val="none" w:sz="0" w:space="0" w:color="auto"/>
        <w:bottom w:val="none" w:sz="0" w:space="0" w:color="auto"/>
        <w:right w:val="none" w:sz="0" w:space="0" w:color="auto"/>
      </w:divBdr>
    </w:div>
    <w:div w:id="717433514">
      <w:bodyDiv w:val="1"/>
      <w:marLeft w:val="0"/>
      <w:marRight w:val="0"/>
      <w:marTop w:val="0"/>
      <w:marBottom w:val="0"/>
      <w:divBdr>
        <w:top w:val="none" w:sz="0" w:space="0" w:color="auto"/>
        <w:left w:val="none" w:sz="0" w:space="0" w:color="auto"/>
        <w:bottom w:val="none" w:sz="0" w:space="0" w:color="auto"/>
        <w:right w:val="none" w:sz="0" w:space="0" w:color="auto"/>
      </w:divBdr>
    </w:div>
    <w:div w:id="811142368">
      <w:bodyDiv w:val="1"/>
      <w:marLeft w:val="0"/>
      <w:marRight w:val="0"/>
      <w:marTop w:val="0"/>
      <w:marBottom w:val="0"/>
      <w:divBdr>
        <w:top w:val="none" w:sz="0" w:space="0" w:color="auto"/>
        <w:left w:val="none" w:sz="0" w:space="0" w:color="auto"/>
        <w:bottom w:val="none" w:sz="0" w:space="0" w:color="auto"/>
        <w:right w:val="none" w:sz="0" w:space="0" w:color="auto"/>
      </w:divBdr>
    </w:div>
    <w:div w:id="838077250">
      <w:bodyDiv w:val="1"/>
      <w:marLeft w:val="0"/>
      <w:marRight w:val="0"/>
      <w:marTop w:val="0"/>
      <w:marBottom w:val="0"/>
      <w:divBdr>
        <w:top w:val="none" w:sz="0" w:space="0" w:color="auto"/>
        <w:left w:val="none" w:sz="0" w:space="0" w:color="auto"/>
        <w:bottom w:val="none" w:sz="0" w:space="0" w:color="auto"/>
        <w:right w:val="none" w:sz="0" w:space="0" w:color="auto"/>
      </w:divBdr>
    </w:div>
    <w:div w:id="885221367">
      <w:bodyDiv w:val="1"/>
      <w:marLeft w:val="0"/>
      <w:marRight w:val="0"/>
      <w:marTop w:val="0"/>
      <w:marBottom w:val="0"/>
      <w:divBdr>
        <w:top w:val="none" w:sz="0" w:space="0" w:color="auto"/>
        <w:left w:val="none" w:sz="0" w:space="0" w:color="auto"/>
        <w:bottom w:val="none" w:sz="0" w:space="0" w:color="auto"/>
        <w:right w:val="none" w:sz="0" w:space="0" w:color="auto"/>
      </w:divBdr>
    </w:div>
    <w:div w:id="1132862642">
      <w:bodyDiv w:val="1"/>
      <w:marLeft w:val="0"/>
      <w:marRight w:val="0"/>
      <w:marTop w:val="0"/>
      <w:marBottom w:val="0"/>
      <w:divBdr>
        <w:top w:val="none" w:sz="0" w:space="0" w:color="auto"/>
        <w:left w:val="none" w:sz="0" w:space="0" w:color="auto"/>
        <w:bottom w:val="none" w:sz="0" w:space="0" w:color="auto"/>
        <w:right w:val="none" w:sz="0" w:space="0" w:color="auto"/>
      </w:divBdr>
    </w:div>
    <w:div w:id="1160342840">
      <w:bodyDiv w:val="1"/>
      <w:marLeft w:val="0"/>
      <w:marRight w:val="0"/>
      <w:marTop w:val="0"/>
      <w:marBottom w:val="0"/>
      <w:divBdr>
        <w:top w:val="none" w:sz="0" w:space="0" w:color="auto"/>
        <w:left w:val="none" w:sz="0" w:space="0" w:color="auto"/>
        <w:bottom w:val="none" w:sz="0" w:space="0" w:color="auto"/>
        <w:right w:val="none" w:sz="0" w:space="0" w:color="auto"/>
      </w:divBdr>
    </w:div>
    <w:div w:id="1163619893">
      <w:bodyDiv w:val="1"/>
      <w:marLeft w:val="0"/>
      <w:marRight w:val="0"/>
      <w:marTop w:val="0"/>
      <w:marBottom w:val="0"/>
      <w:divBdr>
        <w:top w:val="none" w:sz="0" w:space="0" w:color="auto"/>
        <w:left w:val="none" w:sz="0" w:space="0" w:color="auto"/>
        <w:bottom w:val="none" w:sz="0" w:space="0" w:color="auto"/>
        <w:right w:val="none" w:sz="0" w:space="0" w:color="auto"/>
      </w:divBdr>
    </w:div>
    <w:div w:id="1167089257">
      <w:bodyDiv w:val="1"/>
      <w:marLeft w:val="0"/>
      <w:marRight w:val="0"/>
      <w:marTop w:val="0"/>
      <w:marBottom w:val="0"/>
      <w:divBdr>
        <w:top w:val="none" w:sz="0" w:space="0" w:color="auto"/>
        <w:left w:val="none" w:sz="0" w:space="0" w:color="auto"/>
        <w:bottom w:val="none" w:sz="0" w:space="0" w:color="auto"/>
        <w:right w:val="none" w:sz="0" w:space="0" w:color="auto"/>
      </w:divBdr>
    </w:div>
    <w:div w:id="1182284359">
      <w:bodyDiv w:val="1"/>
      <w:marLeft w:val="0"/>
      <w:marRight w:val="0"/>
      <w:marTop w:val="0"/>
      <w:marBottom w:val="0"/>
      <w:divBdr>
        <w:top w:val="none" w:sz="0" w:space="0" w:color="auto"/>
        <w:left w:val="none" w:sz="0" w:space="0" w:color="auto"/>
        <w:bottom w:val="none" w:sz="0" w:space="0" w:color="auto"/>
        <w:right w:val="none" w:sz="0" w:space="0" w:color="auto"/>
      </w:divBdr>
    </w:div>
    <w:div w:id="1373310411">
      <w:bodyDiv w:val="1"/>
      <w:marLeft w:val="0"/>
      <w:marRight w:val="0"/>
      <w:marTop w:val="0"/>
      <w:marBottom w:val="0"/>
      <w:divBdr>
        <w:top w:val="none" w:sz="0" w:space="0" w:color="auto"/>
        <w:left w:val="none" w:sz="0" w:space="0" w:color="auto"/>
        <w:bottom w:val="none" w:sz="0" w:space="0" w:color="auto"/>
        <w:right w:val="none" w:sz="0" w:space="0" w:color="auto"/>
      </w:divBdr>
    </w:div>
    <w:div w:id="1605262778">
      <w:bodyDiv w:val="1"/>
      <w:marLeft w:val="0"/>
      <w:marRight w:val="0"/>
      <w:marTop w:val="0"/>
      <w:marBottom w:val="0"/>
      <w:divBdr>
        <w:top w:val="none" w:sz="0" w:space="0" w:color="auto"/>
        <w:left w:val="none" w:sz="0" w:space="0" w:color="auto"/>
        <w:bottom w:val="none" w:sz="0" w:space="0" w:color="auto"/>
        <w:right w:val="none" w:sz="0" w:space="0" w:color="auto"/>
      </w:divBdr>
    </w:div>
    <w:div w:id="1640916701">
      <w:bodyDiv w:val="1"/>
      <w:marLeft w:val="0"/>
      <w:marRight w:val="0"/>
      <w:marTop w:val="0"/>
      <w:marBottom w:val="0"/>
      <w:divBdr>
        <w:top w:val="none" w:sz="0" w:space="0" w:color="auto"/>
        <w:left w:val="none" w:sz="0" w:space="0" w:color="auto"/>
        <w:bottom w:val="none" w:sz="0" w:space="0" w:color="auto"/>
        <w:right w:val="none" w:sz="0" w:space="0" w:color="auto"/>
      </w:divBdr>
    </w:div>
    <w:div w:id="1841580498">
      <w:bodyDiv w:val="1"/>
      <w:marLeft w:val="0"/>
      <w:marRight w:val="0"/>
      <w:marTop w:val="0"/>
      <w:marBottom w:val="0"/>
      <w:divBdr>
        <w:top w:val="none" w:sz="0" w:space="0" w:color="auto"/>
        <w:left w:val="none" w:sz="0" w:space="0" w:color="auto"/>
        <w:bottom w:val="none" w:sz="0" w:space="0" w:color="auto"/>
        <w:right w:val="none" w:sz="0" w:space="0" w:color="auto"/>
      </w:divBdr>
    </w:div>
    <w:div w:id="1886595974">
      <w:bodyDiv w:val="1"/>
      <w:marLeft w:val="0"/>
      <w:marRight w:val="0"/>
      <w:marTop w:val="0"/>
      <w:marBottom w:val="0"/>
      <w:divBdr>
        <w:top w:val="none" w:sz="0" w:space="0" w:color="auto"/>
        <w:left w:val="none" w:sz="0" w:space="0" w:color="auto"/>
        <w:bottom w:val="none" w:sz="0" w:space="0" w:color="auto"/>
        <w:right w:val="none" w:sz="0" w:space="0" w:color="auto"/>
      </w:divBdr>
    </w:div>
    <w:div w:id="1903709102">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stat/documents/3859598/6454997/KS-GQ-14-013-EN-N.pdf/166605aa-c990-40c4-b9f7-59c297154277" TargetMode="External"/><Relationship Id="rId18" Type="http://schemas.openxmlformats.org/officeDocument/2006/relationships/hyperlink" Target="http://www.instat.gov.al/al/publikime/kalendari/" TargetMode="External"/><Relationship Id="rId26" Type="http://schemas.openxmlformats.org/officeDocument/2006/relationships/hyperlink" Target="http://www.instat.gov.al/media/2829/politika_e_revizionimit.pdf" TargetMode="External"/><Relationship Id="rId3" Type="http://schemas.openxmlformats.org/officeDocument/2006/relationships/styles" Target="styles.xml"/><Relationship Id="rId21" Type="http://schemas.openxmlformats.org/officeDocument/2006/relationships/hyperlink" Target="http://instat.gov.al/al/temat/industria-tregtia-dhe-sh%C3%ABrbimet/turizmi/" TargetMode="External"/><Relationship Id="rId7" Type="http://schemas.openxmlformats.org/officeDocument/2006/relationships/footnotes" Target="footnotes.xml"/><Relationship Id="rId12" Type="http://schemas.openxmlformats.org/officeDocument/2006/relationships/hyperlink" Target="https://ec.europa.eu/eurostat/web/nuts/nuts-maps" TargetMode="External"/><Relationship Id="rId17" Type="http://schemas.openxmlformats.org/officeDocument/2006/relationships/hyperlink" Target="http://www.instat.gov.al/media/3594/psz-2017-2021.pdf" TargetMode="External"/><Relationship Id="rId25" Type="http://schemas.openxmlformats.org/officeDocument/2006/relationships/hyperlink" Target="https://eur-lex.europa.eu/legal-content/EN/TXT/PDF/?uri=CELEX:32011R0692" TargetMode="External"/><Relationship Id="rId2" Type="http://schemas.openxmlformats.org/officeDocument/2006/relationships/numbering" Target="numbering.xml"/><Relationship Id="rId16" Type="http://schemas.openxmlformats.org/officeDocument/2006/relationships/hyperlink" Target="http://www.instat.gov.al/media/3973/ligj-nr-17-dt-542018_per-statistikat-zyrtare.pdf" TargetMode="External"/><Relationship Id="rId20" Type="http://schemas.openxmlformats.org/officeDocument/2006/relationships/hyperlink" Target="http://www.instat.gov.al/al/rreth-nesh/k&#235;rko-t&#235;-dh&#235;na/k&#235;rkes&#235;-t&#235;-dh&#235;nash-formulari/" TargetMode="External"/><Relationship Id="rId29" Type="http://schemas.openxmlformats.org/officeDocument/2006/relationships/hyperlink" Target="http://www.instat.gov.al/media/2828/politika_e_trajtimit_te_gabimev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tat.gov.al/media/1838/nve.pdf" TargetMode="External"/><Relationship Id="rId24" Type="http://schemas.openxmlformats.org/officeDocument/2006/relationships/hyperlink" Target="http://www.instat.gov.al/al/rreth-nesh/k%C3%ABrko-t%C3%AB-dh%C3%ABna/k%C3%ABrkes%C3%AB-t%C3%AB-dh%C3%ABnash-formular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ur-lex.europa.eu/LexUriServ/LexUriServ.do?uri=OJ:L:2011:276:0013:0021:EN:PDF" TargetMode="External"/><Relationship Id="rId23" Type="http://schemas.openxmlformats.org/officeDocument/2006/relationships/hyperlink" Target="http://www.instat.gov.al/al/temat/industria-tregtia-dhe-sh%C3%ABrbimet/turizmi/" TargetMode="External"/><Relationship Id="rId28" Type="http://schemas.openxmlformats.org/officeDocument/2006/relationships/hyperlink" Target="http://www.instat.gov.al/media/2829/politika_e_revizionimit.pdf" TargetMode="External"/><Relationship Id="rId10" Type="http://schemas.openxmlformats.org/officeDocument/2006/relationships/hyperlink" Target="https://eur-lex.europa.eu/legal-content/EN/TXT/PDF/?uri=CELEX:32011R0692" TargetMode="External"/><Relationship Id="rId19" Type="http://schemas.openxmlformats.org/officeDocument/2006/relationships/hyperlink" Target="http://instat.gov.al/al/temat/industria-tregtia-dhe-sh%C3%ABrbimet/turizmi/publikimet/2020/anketa-e-turizmit-strukturat-akomoduese-201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bushati@instat.gov.al" TargetMode="External"/><Relationship Id="rId14" Type="http://schemas.openxmlformats.org/officeDocument/2006/relationships/hyperlink" Target="http://eur-lex.europa.eu/LexUriServ/LexUriServ.do?uri=OJ:L:2011:192:0017:0032:EN:PDF" TargetMode="External"/><Relationship Id="rId22" Type="http://schemas.openxmlformats.org/officeDocument/2006/relationships/hyperlink" Target="http://www.instat.gov.al/al/publikime/librat/" TargetMode="External"/><Relationship Id="rId27" Type="http://schemas.openxmlformats.org/officeDocument/2006/relationships/hyperlink" Target="http://www.instat.gov.al/media/2828/politika_e_trajtimit_te_gabimeve.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C8F5-D084-4E2C-9049-4CA46A2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insilsh</dc:creator>
  <cp:lastModifiedBy>Elona Berberi</cp:lastModifiedBy>
  <cp:revision>14</cp:revision>
  <cp:lastPrinted>2016-09-01T07:29:00Z</cp:lastPrinted>
  <dcterms:created xsi:type="dcterms:W3CDTF">2021-04-13T06:50:00Z</dcterms:created>
  <dcterms:modified xsi:type="dcterms:W3CDTF">2021-04-13T09:09:00Z</dcterms:modified>
</cp:coreProperties>
</file>